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43181" w14:textId="001EFB4F" w:rsidR="005E6FF1" w:rsidRPr="00AD4E46" w:rsidRDefault="00133576" w:rsidP="00437B10">
      <w:pPr>
        <w:pStyle w:val="Tekstpodstawowy"/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Informacja prasowa</w:t>
      </w:r>
    </w:p>
    <w:p w14:paraId="51A6DE17" w14:textId="77777777" w:rsidR="00990498" w:rsidRPr="00990498" w:rsidRDefault="00990498" w:rsidP="00437B10">
      <w:pPr>
        <w:spacing w:line="360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 w:rsidRPr="00990498">
        <w:rPr>
          <w:rFonts w:cstheme="minorHAnsi"/>
          <w:b/>
          <w:bCs/>
          <w:color w:val="0070C0"/>
          <w:sz w:val="32"/>
          <w:szCs w:val="32"/>
        </w:rPr>
        <w:t xml:space="preserve">Prawie 93 mld zł </w:t>
      </w:r>
      <w:r w:rsidRPr="008C789C">
        <w:rPr>
          <w:rFonts w:cstheme="minorHAnsi"/>
          <w:b/>
          <w:bCs/>
          <w:color w:val="0070C0"/>
          <w:sz w:val="32"/>
          <w:szCs w:val="32"/>
        </w:rPr>
        <w:t xml:space="preserve">na </w:t>
      </w:r>
      <w:r w:rsidRPr="002E69A3">
        <w:rPr>
          <w:rFonts w:cstheme="minorHAnsi"/>
          <w:b/>
          <w:bCs/>
          <w:color w:val="0070C0"/>
          <w:sz w:val="32"/>
          <w:szCs w:val="32"/>
        </w:rPr>
        <w:t>inwestycje prz</w:t>
      </w:r>
      <w:r w:rsidRPr="00990498">
        <w:rPr>
          <w:rFonts w:cstheme="minorHAnsi"/>
          <w:b/>
          <w:bCs/>
          <w:color w:val="0070C0"/>
          <w:sz w:val="32"/>
          <w:szCs w:val="32"/>
        </w:rPr>
        <w:t>edsiębiorstw z leasingiem</w:t>
      </w:r>
    </w:p>
    <w:p w14:paraId="7D62A733" w14:textId="77777777" w:rsidR="003C7F49" w:rsidRDefault="003C7F49" w:rsidP="00437B10">
      <w:pPr>
        <w:spacing w:line="360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</w:p>
    <w:p w14:paraId="6674201C" w14:textId="77777777" w:rsidR="00990498" w:rsidRPr="00990498" w:rsidRDefault="00990498" w:rsidP="00437B10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b/>
          <w:bCs/>
          <w:sz w:val="28"/>
          <w:szCs w:val="28"/>
        </w:rPr>
      </w:pPr>
      <w:r w:rsidRPr="00990498">
        <w:rPr>
          <w:rFonts w:cstheme="minorHAnsi"/>
          <w:b/>
          <w:bCs/>
          <w:sz w:val="28"/>
          <w:szCs w:val="28"/>
        </w:rPr>
        <w:t>Firmy leasingowe sfinansowały w ciągu trzech kwartałów 2026 r. inwestycje przedsiębiorstw o wartości 92,9 mld zł, o 8,8 proc. więcej niż rok wcześniej.</w:t>
      </w:r>
    </w:p>
    <w:p w14:paraId="1000CBC9" w14:textId="01D81D09" w:rsidR="00990498" w:rsidRPr="00990498" w:rsidRDefault="00990498" w:rsidP="00437B10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b/>
          <w:bCs/>
          <w:sz w:val="28"/>
          <w:szCs w:val="28"/>
        </w:rPr>
      </w:pPr>
      <w:r w:rsidRPr="00990498">
        <w:rPr>
          <w:rFonts w:cstheme="minorHAnsi"/>
          <w:b/>
          <w:bCs/>
          <w:sz w:val="28"/>
          <w:szCs w:val="28"/>
        </w:rPr>
        <w:t>Najszybciej wśród głównych kategorii aktywów rosł</w:t>
      </w:r>
      <w:r w:rsidR="00790FB6">
        <w:rPr>
          <w:rFonts w:cstheme="minorHAnsi"/>
          <w:b/>
          <w:bCs/>
          <w:sz w:val="28"/>
          <w:szCs w:val="28"/>
        </w:rPr>
        <w:t>a wartość</w:t>
      </w:r>
      <w:r w:rsidRPr="00990498">
        <w:rPr>
          <w:rFonts w:cstheme="minorHAnsi"/>
          <w:b/>
          <w:bCs/>
          <w:sz w:val="28"/>
          <w:szCs w:val="28"/>
        </w:rPr>
        <w:t xml:space="preserve"> </w:t>
      </w:r>
      <w:r w:rsidR="00790FB6">
        <w:rPr>
          <w:rFonts w:cstheme="minorHAnsi"/>
          <w:b/>
          <w:bCs/>
          <w:sz w:val="28"/>
          <w:szCs w:val="28"/>
        </w:rPr>
        <w:t>s</w:t>
      </w:r>
      <w:r w:rsidRPr="00990498">
        <w:rPr>
          <w:rFonts w:cstheme="minorHAnsi"/>
          <w:b/>
          <w:bCs/>
          <w:sz w:val="28"/>
          <w:szCs w:val="28"/>
        </w:rPr>
        <w:t>finansowan</w:t>
      </w:r>
      <w:r w:rsidR="00790FB6">
        <w:rPr>
          <w:rFonts w:cstheme="minorHAnsi"/>
          <w:b/>
          <w:bCs/>
          <w:sz w:val="28"/>
          <w:szCs w:val="28"/>
        </w:rPr>
        <w:t>ych</w:t>
      </w:r>
      <w:r w:rsidRPr="00990498">
        <w:rPr>
          <w:rFonts w:cstheme="minorHAnsi"/>
          <w:b/>
          <w:bCs/>
          <w:sz w:val="28"/>
          <w:szCs w:val="28"/>
        </w:rPr>
        <w:t xml:space="preserve"> pojazdów ciężkich (+21,8 proc.). Wartość </w:t>
      </w:r>
      <w:r w:rsidR="00857CDF">
        <w:rPr>
          <w:rFonts w:cstheme="minorHAnsi"/>
          <w:b/>
          <w:bCs/>
          <w:sz w:val="28"/>
          <w:szCs w:val="28"/>
        </w:rPr>
        <w:t>s</w:t>
      </w:r>
      <w:r w:rsidRPr="00990498">
        <w:rPr>
          <w:rFonts w:cstheme="minorHAnsi"/>
          <w:b/>
          <w:bCs/>
          <w:sz w:val="28"/>
          <w:szCs w:val="28"/>
        </w:rPr>
        <w:t>finansowan</w:t>
      </w:r>
      <w:r w:rsidR="006661C2">
        <w:rPr>
          <w:rFonts w:cstheme="minorHAnsi"/>
          <w:b/>
          <w:bCs/>
          <w:sz w:val="28"/>
          <w:szCs w:val="28"/>
        </w:rPr>
        <w:t>ych</w:t>
      </w:r>
      <w:r w:rsidRPr="00990498">
        <w:rPr>
          <w:rFonts w:cstheme="minorHAnsi"/>
          <w:b/>
          <w:bCs/>
          <w:sz w:val="28"/>
          <w:szCs w:val="28"/>
        </w:rPr>
        <w:t xml:space="preserve"> pojazdów </w:t>
      </w:r>
      <w:r w:rsidR="00DF3BD0">
        <w:rPr>
          <w:rFonts w:cstheme="minorHAnsi"/>
          <w:b/>
          <w:bCs/>
          <w:sz w:val="28"/>
          <w:szCs w:val="28"/>
        </w:rPr>
        <w:t xml:space="preserve">ogółem </w:t>
      </w:r>
      <w:r w:rsidRPr="00990498">
        <w:rPr>
          <w:rFonts w:cstheme="minorHAnsi"/>
          <w:b/>
          <w:bCs/>
          <w:sz w:val="28"/>
          <w:szCs w:val="28"/>
        </w:rPr>
        <w:t>wzrosła o 11,4 proc.</w:t>
      </w:r>
    </w:p>
    <w:p w14:paraId="099689EE" w14:textId="5147D3FC" w:rsidR="00990498" w:rsidRPr="00990498" w:rsidRDefault="00990498" w:rsidP="00437B10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b/>
          <w:bCs/>
          <w:sz w:val="28"/>
          <w:szCs w:val="28"/>
        </w:rPr>
      </w:pPr>
      <w:r w:rsidRPr="00990498">
        <w:rPr>
          <w:rFonts w:cstheme="minorHAnsi"/>
          <w:b/>
          <w:bCs/>
          <w:sz w:val="28"/>
          <w:szCs w:val="28"/>
        </w:rPr>
        <w:t>Rynek maszyn i urządzeń zwiększył się o 1,4 proc. Za tym wynikiem kryją się duże różnice między branżami, w tym spadek</w:t>
      </w:r>
      <w:r w:rsidR="00B5597C">
        <w:rPr>
          <w:rFonts w:cstheme="minorHAnsi"/>
          <w:b/>
          <w:bCs/>
          <w:sz w:val="28"/>
          <w:szCs w:val="28"/>
        </w:rPr>
        <w:t xml:space="preserve"> wartości</w:t>
      </w:r>
      <w:r w:rsidRPr="00990498">
        <w:rPr>
          <w:rFonts w:cstheme="minorHAnsi"/>
          <w:b/>
          <w:bCs/>
          <w:sz w:val="28"/>
          <w:szCs w:val="28"/>
        </w:rPr>
        <w:t xml:space="preserve"> </w:t>
      </w:r>
      <w:r w:rsidR="00DB3154">
        <w:rPr>
          <w:rFonts w:cstheme="minorHAnsi"/>
          <w:b/>
          <w:bCs/>
          <w:sz w:val="28"/>
          <w:szCs w:val="28"/>
        </w:rPr>
        <w:t>s</w:t>
      </w:r>
      <w:r w:rsidRPr="00990498">
        <w:rPr>
          <w:rFonts w:cstheme="minorHAnsi"/>
          <w:b/>
          <w:bCs/>
          <w:sz w:val="28"/>
          <w:szCs w:val="28"/>
        </w:rPr>
        <w:t>finansowan</w:t>
      </w:r>
      <w:r w:rsidR="00DB3154">
        <w:rPr>
          <w:rFonts w:cstheme="minorHAnsi"/>
          <w:b/>
          <w:bCs/>
          <w:sz w:val="28"/>
          <w:szCs w:val="28"/>
        </w:rPr>
        <w:t>ych</w:t>
      </w:r>
      <w:r w:rsidRPr="00990498">
        <w:rPr>
          <w:rFonts w:cstheme="minorHAnsi"/>
          <w:b/>
          <w:bCs/>
          <w:sz w:val="28"/>
          <w:szCs w:val="28"/>
        </w:rPr>
        <w:t xml:space="preserve"> maszyn rolniczych o 18,9 proc.</w:t>
      </w:r>
    </w:p>
    <w:p w14:paraId="7BAD1021" w14:textId="240B0A62" w:rsidR="00345D97" w:rsidRPr="00786F57" w:rsidRDefault="00990498" w:rsidP="00437B10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b/>
          <w:bCs/>
          <w:sz w:val="28"/>
          <w:szCs w:val="28"/>
        </w:rPr>
      </w:pPr>
      <w:r w:rsidRPr="00990498">
        <w:rPr>
          <w:rFonts w:cstheme="minorHAnsi"/>
          <w:b/>
          <w:bCs/>
          <w:sz w:val="28"/>
          <w:szCs w:val="28"/>
        </w:rPr>
        <w:t xml:space="preserve">Pożyczka leasingowa utrzymała dwucyfrową dynamikę (+20,2 proc.), a wartość </w:t>
      </w:r>
      <w:r w:rsidR="00786F57">
        <w:rPr>
          <w:rFonts w:cstheme="minorHAnsi"/>
          <w:b/>
          <w:bCs/>
          <w:sz w:val="28"/>
          <w:szCs w:val="28"/>
        </w:rPr>
        <w:t>s</w:t>
      </w:r>
      <w:r w:rsidRPr="00990498">
        <w:rPr>
          <w:rFonts w:cstheme="minorHAnsi"/>
          <w:b/>
          <w:bCs/>
          <w:sz w:val="28"/>
          <w:szCs w:val="28"/>
        </w:rPr>
        <w:t>finansowan</w:t>
      </w:r>
      <w:r w:rsidR="00786F57">
        <w:rPr>
          <w:rFonts w:cstheme="minorHAnsi"/>
          <w:b/>
          <w:bCs/>
          <w:sz w:val="28"/>
          <w:szCs w:val="28"/>
        </w:rPr>
        <w:t>ych aktywów</w:t>
      </w:r>
      <w:r w:rsidRPr="00990498">
        <w:rPr>
          <w:rFonts w:cstheme="minorHAnsi"/>
          <w:b/>
          <w:bCs/>
          <w:sz w:val="28"/>
          <w:szCs w:val="28"/>
        </w:rPr>
        <w:t xml:space="preserve"> w formie leasingu wzrosła o 6,8 proc.</w:t>
      </w:r>
    </w:p>
    <w:p w14:paraId="2594614B" w14:textId="77777777" w:rsidR="00B56EDC" w:rsidRPr="00B56EDC" w:rsidRDefault="00B56EDC" w:rsidP="00437B10">
      <w:pPr>
        <w:spacing w:line="360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</w:p>
    <w:p w14:paraId="22EFF58F" w14:textId="77777777" w:rsidR="00437B10" w:rsidRPr="00437B10" w:rsidRDefault="0062588B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FC1B2D">
        <w:rPr>
          <w:rFonts w:cstheme="minorHAnsi"/>
          <w:b/>
          <w:bCs/>
          <w:sz w:val="22"/>
          <w:szCs w:val="22"/>
        </w:rPr>
        <w:t>Warszawa, 2</w:t>
      </w:r>
      <w:r w:rsidR="00E4696A">
        <w:rPr>
          <w:rFonts w:cstheme="minorHAnsi"/>
          <w:b/>
          <w:bCs/>
          <w:sz w:val="22"/>
          <w:szCs w:val="22"/>
        </w:rPr>
        <w:t>6</w:t>
      </w:r>
      <w:r w:rsidRPr="00FC1B2D">
        <w:rPr>
          <w:rFonts w:cstheme="minorHAnsi"/>
          <w:b/>
          <w:bCs/>
          <w:sz w:val="22"/>
          <w:szCs w:val="22"/>
        </w:rPr>
        <w:t xml:space="preserve"> października 2026 r.</w:t>
      </w:r>
      <w:r w:rsidRPr="0062588B">
        <w:rPr>
          <w:rFonts w:cstheme="minorHAnsi"/>
          <w:sz w:val="22"/>
          <w:szCs w:val="22"/>
        </w:rPr>
        <w:t xml:space="preserve"> – </w:t>
      </w:r>
      <w:r w:rsidR="00437B10" w:rsidRPr="00437B10">
        <w:rPr>
          <w:rFonts w:cstheme="minorHAnsi"/>
          <w:sz w:val="22"/>
          <w:szCs w:val="22"/>
        </w:rPr>
        <w:t>Firmy leasingowe sfinansowały w okresie od stycznia do września 2026 r. inwestycje przedsiębiorstw o łącznej wartości 92,9 mld zł, wobec 85,4 mld zł rok wcześniej – wynika z danych Związku Polskiego Leasingu (ZPL). Oznacza to wzrost rynku leasingu i pożyczki leasingowej o 8,8 proc. W samym trzecim kwartale wartość sfinansowanych aktywów wyniosła 31,0 mld zł, o 8,4 proc. więcej niż w analogicznym okresie 2025 r.</w:t>
      </w:r>
    </w:p>
    <w:p w14:paraId="6AAC38AD" w14:textId="77777777" w:rsid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 xml:space="preserve">Dynamika rynku pozostała zbliżona do poziomu z pierwszego półrocza, kiedy wzrost wyniósł 8,9 proc. Największy udział w rynku miały pojazdy, które odpowiadały za ponad trzy czwarte jego wartości. </w:t>
      </w:r>
      <w:r w:rsidRPr="00437B10">
        <w:rPr>
          <w:rFonts w:cstheme="minorHAnsi"/>
          <w:sz w:val="22"/>
          <w:szCs w:val="22"/>
        </w:rPr>
        <w:lastRenderedPageBreak/>
        <w:t>Znacznie wolniej rosła wartość sfinansowanych maszyn i urządzeń, choć poszczególne segmenty tego rynku rozwijały się w różnym tempie.</w:t>
      </w:r>
    </w:p>
    <w:p w14:paraId="2074FDEF" w14:textId="77777777" w:rsidR="002E69A3" w:rsidRPr="00437B10" w:rsidRDefault="002E69A3" w:rsidP="00437B10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6C073ADB" w14:textId="77777777" w:rsid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 xml:space="preserve">– </w:t>
      </w:r>
      <w:r w:rsidRPr="002E69A3">
        <w:rPr>
          <w:rFonts w:cstheme="minorHAnsi"/>
          <w:i/>
          <w:iCs/>
          <w:sz w:val="22"/>
          <w:szCs w:val="22"/>
        </w:rPr>
        <w:t xml:space="preserve">Po słabszym początku roku rynek leasingu wyraźnie przyspieszył w marcu, a w kolejnych miesiącach utrzymywał wzrost. To dobry wynik, ale za stabilną dynamiką całego rynku kryją się duże różnice między poszczególnymi branżami. Wyraźnie szybciej rośnie segment pojazdów ciężkich, podczas gdy w przypadku maszyn i urządzeń aktywność inwestycyjna pozostaje ograniczona. W kolejnych miesiącach przedsiębiorcom powinny sprzyjać silny popyt konsumpcyjny, uruchamianie inwestycji finansowanych ze środków unijnych oraz stopniowa poprawa sytuacji w polskim eksporcie. To ważne czynniki dla dalszego rozwoju rynku leasingu </w:t>
      </w:r>
      <w:r w:rsidRPr="00437B10">
        <w:rPr>
          <w:rFonts w:cstheme="minorHAnsi"/>
          <w:sz w:val="22"/>
          <w:szCs w:val="22"/>
        </w:rPr>
        <w:t xml:space="preserve">– mówi </w:t>
      </w:r>
      <w:r w:rsidRPr="002E69A3">
        <w:rPr>
          <w:rFonts w:cstheme="minorHAnsi"/>
          <w:b/>
          <w:bCs/>
          <w:sz w:val="22"/>
          <w:szCs w:val="22"/>
        </w:rPr>
        <w:t>Monika Constant,</w:t>
      </w:r>
      <w:r w:rsidRPr="00437B10">
        <w:rPr>
          <w:rFonts w:cstheme="minorHAnsi"/>
          <w:sz w:val="22"/>
          <w:szCs w:val="22"/>
        </w:rPr>
        <w:t xml:space="preserve"> prezeska Związku Polskiego Leasingu.</w:t>
      </w:r>
    </w:p>
    <w:p w14:paraId="4D3C8E7F" w14:textId="77777777" w:rsidR="00F121BE" w:rsidRDefault="00F121BE" w:rsidP="00437B10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7BE20B40" w14:textId="25151765" w:rsidR="00F121BE" w:rsidRDefault="00F121BE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inline distT="0" distB="0" distL="0" distR="0" wp14:anchorId="352F3D88" wp14:editId="69237B0B">
            <wp:extent cx="5759450" cy="3551555"/>
            <wp:effectExtent l="0" t="0" r="0" b="0"/>
            <wp:docPr id="26114704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147045" name="Obraz 26114704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61C12" w14:textId="77777777" w:rsidR="002E69A3" w:rsidRPr="00437B10" w:rsidRDefault="002E69A3" w:rsidP="00437B10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6C69E6FB" w14:textId="77777777" w:rsidR="00437B10" w:rsidRPr="002E69A3" w:rsidRDefault="00437B10" w:rsidP="00437B10">
      <w:pPr>
        <w:spacing w:line="360" w:lineRule="auto"/>
        <w:jc w:val="both"/>
        <w:rPr>
          <w:rFonts w:cstheme="minorHAnsi"/>
          <w:b/>
          <w:bCs/>
          <w:color w:val="0070C0"/>
        </w:rPr>
      </w:pPr>
      <w:r w:rsidRPr="002E69A3">
        <w:rPr>
          <w:rFonts w:cstheme="minorHAnsi"/>
          <w:b/>
          <w:bCs/>
          <w:color w:val="0070C0"/>
        </w:rPr>
        <w:t>Transport ciężki nadal motorem wzrostu</w:t>
      </w:r>
    </w:p>
    <w:p w14:paraId="35CF1C1A" w14:textId="77777777" w:rsidR="00437B10" w:rsidRP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lastRenderedPageBreak/>
        <w:t>Pojazdy pozostają największą kategorią aktywów finansowanych przez firmy leasingowe. W ciągu trzech kwartałów wartość sfinansowanych pojazdów wyniosła 69,7 mld zł, o 11,4 proc. więcej niż przed rokiem.</w:t>
      </w:r>
    </w:p>
    <w:p w14:paraId="6575E118" w14:textId="77777777" w:rsidR="00437B10" w:rsidRP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Najwyższą dynamikę w tej grupie utrzymały pojazdy ciężkie. Wartość sfinansowanych pojazdów ciężkich wzrosła o 21,8 proc., do 17,3 mld zł.</w:t>
      </w:r>
    </w:p>
    <w:p w14:paraId="764932C7" w14:textId="77777777" w:rsidR="00437B10" w:rsidRP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Na wynik tego segmentu złożył się przede wszystkim wzrost wartości sfinansowanych:</w:t>
      </w:r>
    </w:p>
    <w:p w14:paraId="712DED0F" w14:textId="3C3600FA" w:rsidR="00437B10" w:rsidRPr="002E69A3" w:rsidRDefault="00437B10" w:rsidP="002E69A3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t>ciągników siodłowych o 26,3 proc., do 8,3 mld zł,</w:t>
      </w:r>
    </w:p>
    <w:p w14:paraId="09EC4087" w14:textId="156ED1B5" w:rsidR="00437B10" w:rsidRPr="002E69A3" w:rsidRDefault="00437B10" w:rsidP="002E69A3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t>samochodów ciężarowych powyżej 3,5 tony o 23,5 proc., do 4,0 mld zł,</w:t>
      </w:r>
    </w:p>
    <w:p w14:paraId="47743A0F" w14:textId="75456811" w:rsidR="00437B10" w:rsidRPr="002E69A3" w:rsidRDefault="00437B10" w:rsidP="002E69A3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t>autobusów o 18,8 proc., do 1,6 mld zł,</w:t>
      </w:r>
    </w:p>
    <w:p w14:paraId="50E42212" w14:textId="288D9674" w:rsidR="00437B10" w:rsidRPr="002E69A3" w:rsidRDefault="00437B10" w:rsidP="002E69A3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t>naczep i przyczep o 11,3 proc., do 3,4 mld zł.</w:t>
      </w:r>
    </w:p>
    <w:p w14:paraId="5AFBF776" w14:textId="77777777" w:rsid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Dane za sam trzeci kwartał wskazują jednak na niższą dynamikę wzrostu wartości sfinansowanych pojazdów ciężkich niż w pierwszej połowie roku. W okresie od lipca do września wartość sfinansowanych aktywów w tym segmencie wzrosła o 14,4 proc. rok do roku, podczas gdy w pierwszym półroczu wzrost wynosił 25,5 proc.</w:t>
      </w:r>
    </w:p>
    <w:p w14:paraId="56B3CAA9" w14:textId="77777777" w:rsidR="002E69A3" w:rsidRPr="00437B10" w:rsidRDefault="002E69A3" w:rsidP="00437B10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0F514B6D" w14:textId="77777777" w:rsid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 xml:space="preserve">– </w:t>
      </w:r>
      <w:r w:rsidRPr="002E69A3">
        <w:rPr>
          <w:rFonts w:cstheme="minorHAnsi"/>
          <w:i/>
          <w:iCs/>
          <w:sz w:val="22"/>
          <w:szCs w:val="22"/>
        </w:rPr>
        <w:t xml:space="preserve">Pojazdy ciężkie pozostają jednym z najszybciej rosnących segmentów rynku, ale w trzecim kwartale tempo wzrostu wyraźnie osłabło. Dobre wyniki ciągników siodłowych są związane z poprawą polskiego eksportu i rosnącymi stawkami frachtowymi. We wrześniu mocno wzrosła również wartość sfinansowanych naczep. Jednocześnie zmniejszyła się wartość sfinansowanych samochodów ciężarowych powyżej 3,5 tony, silniej związanych z popytem krajowym, w tym z sektorem budowlanym. Dane za trzeci kwartał wskazują też, że wpływ nowych stawek VECTO na rynek pojazdów ciężkich był dotychczas ograniczony </w:t>
      </w:r>
      <w:r w:rsidRPr="00437B10">
        <w:rPr>
          <w:rFonts w:cstheme="minorHAnsi"/>
          <w:sz w:val="22"/>
          <w:szCs w:val="22"/>
        </w:rPr>
        <w:t xml:space="preserve">– mówi </w:t>
      </w:r>
      <w:r w:rsidRPr="002E69A3">
        <w:rPr>
          <w:rFonts w:cstheme="minorHAnsi"/>
          <w:b/>
          <w:bCs/>
          <w:sz w:val="22"/>
          <w:szCs w:val="22"/>
        </w:rPr>
        <w:t>Marcin Nieplowicz</w:t>
      </w:r>
      <w:r w:rsidRPr="00437B10">
        <w:rPr>
          <w:rFonts w:cstheme="minorHAnsi"/>
          <w:sz w:val="22"/>
          <w:szCs w:val="22"/>
        </w:rPr>
        <w:t>, główny ekonomista ZPL i EFL.</w:t>
      </w:r>
    </w:p>
    <w:p w14:paraId="2846DE76" w14:textId="77777777" w:rsidR="002E69A3" w:rsidRPr="00437B10" w:rsidRDefault="002E69A3" w:rsidP="00437B10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3CC75B1B" w14:textId="77777777" w:rsid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Wartość sfinansowanych pojazdów lekkich, obejmujących samochody osobowe i dostawcze do 3,5 tony, wzrosła o 8,2 proc., osiągając 51,6 mld zł. W tej grupie wartość sfinansowanych samochodów osobowych wzrosła o 7,9 proc., do 45,0 mld zł, a samochodów dostawczych o 10,3 proc., do 6,5 mld zł.</w:t>
      </w:r>
    </w:p>
    <w:p w14:paraId="0F029E10" w14:textId="77777777" w:rsidR="002E69A3" w:rsidRPr="00437B10" w:rsidRDefault="002E69A3" w:rsidP="00437B10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46FEF1BA" w14:textId="207241D1" w:rsidR="00437B10" w:rsidRPr="002E69A3" w:rsidRDefault="00437B10" w:rsidP="00437B10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437B10">
        <w:rPr>
          <w:rFonts w:cstheme="minorHAnsi"/>
          <w:sz w:val="22"/>
          <w:szCs w:val="22"/>
        </w:rPr>
        <w:lastRenderedPageBreak/>
        <w:t xml:space="preserve">– </w:t>
      </w:r>
      <w:r w:rsidRPr="002E69A3">
        <w:rPr>
          <w:rFonts w:cstheme="minorHAnsi"/>
          <w:i/>
          <w:iCs/>
          <w:sz w:val="22"/>
          <w:szCs w:val="22"/>
        </w:rPr>
        <w:t>Wartość sfinansowanych pojazdów lekkich nadal rośnie, choć wrzesień przyniósł nieznaczne wyhamowanie po mocniejszym sierpniu. Wzrost obejmuje zarówno samochody osobowe, jak i lekkie dostawcze. Zwraca uwagę znacznie wyższa dynamika pożyczki leasingowej niż leasingu. We wrześniu wartość pojazdów lekkich sfinansowanych pożyczką leasingową wzrosła o 50,7 proc. rok do roku, podczas gdy wartość pojazdów sfinansowanych leasingiem zwiększyła się o 5,1 proc. Utrzymująca się konsumpcja powinna sprzyjać popytowi na samochody w kolejnych miesiącach</w:t>
      </w:r>
      <w:r w:rsidRPr="00437B10">
        <w:rPr>
          <w:rFonts w:cstheme="minorHAnsi"/>
          <w:sz w:val="22"/>
          <w:szCs w:val="22"/>
        </w:rPr>
        <w:t xml:space="preserve"> – mówi </w:t>
      </w:r>
      <w:r w:rsidRPr="002E69A3">
        <w:rPr>
          <w:rFonts w:cstheme="minorHAnsi"/>
          <w:b/>
          <w:bCs/>
          <w:sz w:val="22"/>
          <w:szCs w:val="22"/>
        </w:rPr>
        <w:t>Marcin Nieplowicz.</w:t>
      </w:r>
    </w:p>
    <w:p w14:paraId="45C4B9A7" w14:textId="77777777" w:rsidR="002E69A3" w:rsidRPr="00437B10" w:rsidRDefault="002E69A3" w:rsidP="00437B10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3D8C3B05" w14:textId="77777777" w:rsidR="00437B10" w:rsidRPr="002E69A3" w:rsidRDefault="00437B10" w:rsidP="00437B10">
      <w:pPr>
        <w:spacing w:line="360" w:lineRule="auto"/>
        <w:jc w:val="both"/>
        <w:rPr>
          <w:rFonts w:cstheme="minorHAnsi"/>
          <w:b/>
          <w:bCs/>
          <w:color w:val="0070C0"/>
        </w:rPr>
      </w:pPr>
      <w:r w:rsidRPr="002E69A3">
        <w:rPr>
          <w:rFonts w:cstheme="minorHAnsi"/>
          <w:b/>
          <w:bCs/>
          <w:color w:val="0070C0"/>
        </w:rPr>
        <w:t>Maszyny – wzrost mimo spadków w rolnictwie</w:t>
      </w:r>
    </w:p>
    <w:p w14:paraId="47C10F79" w14:textId="77777777" w:rsidR="00437B10" w:rsidRP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Wartość sfinansowanych maszyn i urządzeń wyniosła po trzech kwartałach 19,8 mld zł, co oznacza wzrost o 1,4 proc. rok do roku. Podobnie jak w pierwszym półroczu sytuacja poszczególnych segmentów rynku pozostawała wyraźnie zróżnicowana.</w:t>
      </w:r>
    </w:p>
    <w:p w14:paraId="547B7AEF" w14:textId="77777777" w:rsidR="00437B10" w:rsidRP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Największy spadek wśród głównych kategorii dotyczył maszyn rolniczych. Wartość sfinansowanych maszyn rolniczych zmniejszyła się o 18,9 proc., do 5,0 mld zł. W trzecim kwartale spadek w tym segmencie wyniósł 20,6 proc. rok do roku.</w:t>
      </w:r>
    </w:p>
    <w:p w14:paraId="202804D5" w14:textId="77777777" w:rsidR="00437B10" w:rsidRP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Wartość sfinansowanego sprzętu budowlanego wzrosła natomiast o 3,1 proc., osiągając 3,7 mld zł. Znacznie wyższą dynamikę odnotowano w grupie pozostałych maszyn i urządzeń, w której wartość sfinansowanych aktywów wzrosła o 13,4 proc., do 11,2 mld zł.</w:t>
      </w:r>
    </w:p>
    <w:p w14:paraId="3A4E2955" w14:textId="77777777" w:rsidR="00437B10" w:rsidRP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Wśród kategorii, w których odnotowano wyraźny wzrost wartości sfinansowanych aktywów, znalazły się:</w:t>
      </w:r>
    </w:p>
    <w:p w14:paraId="6394866E" w14:textId="52C16924" w:rsidR="00437B10" w:rsidRPr="002E69A3" w:rsidRDefault="00437B10" w:rsidP="002E69A3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t>wózki widłowe – wzrost o 38,6 proc.,</w:t>
      </w:r>
    </w:p>
    <w:p w14:paraId="53F62105" w14:textId="40C9C707" w:rsidR="00437B10" w:rsidRPr="002E69A3" w:rsidRDefault="00437B10" w:rsidP="002E69A3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t>sprzęt gastronomiczny – o 36,0 proc.,</w:t>
      </w:r>
    </w:p>
    <w:p w14:paraId="245DAEB6" w14:textId="4D6DDC3D" w:rsidR="00437B10" w:rsidRPr="002E69A3" w:rsidRDefault="00437B10" w:rsidP="002E69A3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t>maszyny dla przemysłu spożywczego – o 34,0 proc.,</w:t>
      </w:r>
    </w:p>
    <w:p w14:paraId="39043331" w14:textId="43CFEC9E" w:rsidR="00437B10" w:rsidRPr="002E69A3" w:rsidRDefault="00437B10" w:rsidP="002E69A3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t>sprzęt medyczny – o 21,3 proc.</w:t>
      </w:r>
    </w:p>
    <w:p w14:paraId="712CA5AE" w14:textId="77777777" w:rsid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Łączna wartość maszyn i urządzeń sfinansowanych w samym trzecim kwartale wyniosła 6,8 mld zł i była o 0,7 proc. wyższa niż rok wcześniej.</w:t>
      </w:r>
    </w:p>
    <w:p w14:paraId="123A72E0" w14:textId="77777777" w:rsidR="002E69A3" w:rsidRPr="00437B10" w:rsidRDefault="002E69A3" w:rsidP="00437B10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58DCFDF8" w14:textId="77777777" w:rsid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lastRenderedPageBreak/>
        <w:t xml:space="preserve">– </w:t>
      </w:r>
      <w:r w:rsidRPr="002E69A3">
        <w:rPr>
          <w:rFonts w:cstheme="minorHAnsi"/>
          <w:i/>
          <w:iCs/>
          <w:sz w:val="22"/>
          <w:szCs w:val="22"/>
        </w:rPr>
        <w:t xml:space="preserve">Wartość sfinansowanych maszyn i urządzeń od kilku lat utrzymuje się na zbliżonym poziomie. Tegoroczny niewielki wzrost całego segmentu to przede wszystkim konsekwencja słabszych wyników w rolnictwie. Po bardzo dobrym 2025 roku, kiedy zakupom maszyn rolniczych sprzyjało wykorzystanie środków unijnych z poprzedniego PROW, mamy do czynienia zarówno z efektem wysokiej bazy, jak i pogorszeniem koniunktury w gospodarstwach rolnych. Inaczej wygląda sytuacja w pozostałych kategoriach. Wartość sfinansowanego sprzętu budowlanego nieznacznie rośnie, a pozostałych maszyn i urządzeń zwiększyła się o 13,4 proc. W czwartym kwartale wpływ wysokiej bazy w rolnictwie powinien być już mniej odczuwalny </w:t>
      </w:r>
      <w:r w:rsidRPr="00437B10">
        <w:rPr>
          <w:rFonts w:cstheme="minorHAnsi"/>
          <w:sz w:val="22"/>
          <w:szCs w:val="22"/>
        </w:rPr>
        <w:t xml:space="preserve">– ocenia </w:t>
      </w:r>
      <w:r w:rsidRPr="002E69A3">
        <w:rPr>
          <w:rFonts w:cstheme="minorHAnsi"/>
          <w:b/>
          <w:bCs/>
          <w:sz w:val="22"/>
          <w:szCs w:val="22"/>
        </w:rPr>
        <w:t>Marcin Nieplowicz.</w:t>
      </w:r>
    </w:p>
    <w:p w14:paraId="5C1EFE81" w14:textId="77777777" w:rsidR="002E69A3" w:rsidRPr="00437B10" w:rsidRDefault="002E69A3" w:rsidP="00437B10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3107F361" w14:textId="77777777" w:rsidR="00437B10" w:rsidRPr="002E69A3" w:rsidRDefault="00437B10" w:rsidP="00437B10">
      <w:pPr>
        <w:spacing w:line="360" w:lineRule="auto"/>
        <w:jc w:val="both"/>
        <w:rPr>
          <w:rFonts w:cstheme="minorHAnsi"/>
          <w:b/>
          <w:bCs/>
          <w:color w:val="0070C0"/>
        </w:rPr>
      </w:pPr>
      <w:r w:rsidRPr="002E69A3">
        <w:rPr>
          <w:rFonts w:cstheme="minorHAnsi"/>
          <w:b/>
          <w:bCs/>
          <w:color w:val="0070C0"/>
        </w:rPr>
        <w:t>Pożyczka leasingowa rośnie szybciej</w:t>
      </w:r>
    </w:p>
    <w:p w14:paraId="19109360" w14:textId="77777777" w:rsidR="00437B10" w:rsidRP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Wzrost rynku w ciągu trzech kwartałów 2026 r. obejmował oba produkty oferowane przez firmy leasingowe, jednak ich dynamika była różna.</w:t>
      </w:r>
    </w:p>
    <w:p w14:paraId="2BF29A20" w14:textId="77777777" w:rsidR="00437B10" w:rsidRP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Wartość aktywów sfinansowanych leasingiem wzrosła o 6,8 proc., do 77,5 mld zł. Z kolei wartość aktywów sfinansowanych pożyczką leasingową zwiększyła się o 20,2 proc., osiągając 15,4 mld zł.</w:t>
      </w:r>
    </w:p>
    <w:p w14:paraId="150F85B5" w14:textId="77777777" w:rsid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Leasing pozostawał dominującą formą finansowania inwestycji, odpowiadając za 83,4 proc. wartości rynku. Udział pożyczki leasingowej wyniósł 16,6 proc.</w:t>
      </w:r>
    </w:p>
    <w:p w14:paraId="4E8EA47C" w14:textId="77777777" w:rsidR="00FC141D" w:rsidRPr="00437B10" w:rsidRDefault="00FC141D" w:rsidP="00437B10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0F89408E" w14:textId="77777777" w:rsidR="00437B10" w:rsidRPr="002E69A3" w:rsidRDefault="00437B10" w:rsidP="00437B10">
      <w:pPr>
        <w:spacing w:line="360" w:lineRule="auto"/>
        <w:jc w:val="both"/>
        <w:rPr>
          <w:rFonts w:cstheme="minorHAnsi"/>
          <w:b/>
          <w:bCs/>
          <w:color w:val="0070C0"/>
        </w:rPr>
      </w:pPr>
      <w:r w:rsidRPr="002E69A3">
        <w:rPr>
          <w:rFonts w:cstheme="minorHAnsi"/>
          <w:b/>
          <w:bCs/>
          <w:color w:val="0070C0"/>
        </w:rPr>
        <w:t>Struktura rynku pozostaje stabilna</w:t>
      </w:r>
    </w:p>
    <w:p w14:paraId="1F7E4C39" w14:textId="77777777" w:rsidR="00437B10" w:rsidRP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W strukturze sfinansowanych aktywów dominują pojazdy, których udział wyniósł 75,1 proc. Drugą największą kategorią pozostają maszyny i urządzenia, odpowiadające za 21,3 proc. wartości rynku.</w:t>
      </w:r>
    </w:p>
    <w:p w14:paraId="4B3EE8DE" w14:textId="77777777" w:rsidR="00437B10" w:rsidRP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Zdecydowaną większość rynku stanowią ruchomości. W ciągu trzech kwartałów łączna wartość sfinansowanych ruchomości wyniosła 92,5 mld zł, o 8,8 proc. więcej niż przed rokiem. Wartość sfinansowanych nieruchomości wyniosła 431,5 mln zł i była o 1,8 proc. niższa niż w analogicznym okresie 2025 r.</w:t>
      </w:r>
    </w:p>
    <w:p w14:paraId="47787566" w14:textId="77777777" w:rsidR="00437B10" w:rsidRP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Wartość sfinansowanych aktywów według kategorii:</w:t>
      </w:r>
    </w:p>
    <w:p w14:paraId="733CA158" w14:textId="32BADE79" w:rsidR="00437B10" w:rsidRPr="002E69A3" w:rsidRDefault="00437B10" w:rsidP="002E69A3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t>Pojazdy – 69,7 mld zł (wzrost o 11,4 proc. r/r), w tym:</w:t>
      </w:r>
    </w:p>
    <w:p w14:paraId="78069E42" w14:textId="3824679F" w:rsidR="00437B10" w:rsidRPr="002E69A3" w:rsidRDefault="00437B10" w:rsidP="002E69A3">
      <w:pPr>
        <w:pStyle w:val="Akapitzlist"/>
        <w:numPr>
          <w:ilvl w:val="0"/>
          <w:numId w:val="11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t>pojazdy lekkie – 51,6 mld zł (wzrost o 8,2 proc.),</w:t>
      </w:r>
    </w:p>
    <w:p w14:paraId="30F23C65" w14:textId="364BE30D" w:rsidR="00437B10" w:rsidRPr="002E69A3" w:rsidRDefault="00437B10" w:rsidP="002E69A3">
      <w:pPr>
        <w:pStyle w:val="Akapitzlist"/>
        <w:numPr>
          <w:ilvl w:val="0"/>
          <w:numId w:val="11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t>pojazdy ciężkie – 17,3 mld zł (wzrost o 21,8 proc.),</w:t>
      </w:r>
    </w:p>
    <w:p w14:paraId="5803B041" w14:textId="2416DE18" w:rsidR="00437B10" w:rsidRPr="002E69A3" w:rsidRDefault="00437B10" w:rsidP="002E69A3">
      <w:pPr>
        <w:pStyle w:val="Akapitzlist"/>
        <w:numPr>
          <w:ilvl w:val="0"/>
          <w:numId w:val="11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lastRenderedPageBreak/>
        <w:t>inne pojazdy – 0,9 mld zł (wzrost o 20,6 proc.).</w:t>
      </w:r>
    </w:p>
    <w:p w14:paraId="208D84FB" w14:textId="77842C5C" w:rsidR="00437B10" w:rsidRPr="002E69A3" w:rsidRDefault="00437B10" w:rsidP="002E69A3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t>Maszyny i urządzenia – 19,8 mld zł (wzrost o 1,4 proc.).</w:t>
      </w:r>
    </w:p>
    <w:p w14:paraId="70336314" w14:textId="2E0F3041" w:rsidR="00437B10" w:rsidRPr="002E69A3" w:rsidRDefault="00437B10" w:rsidP="002E69A3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t>Pozostałe ruchomości – 2,9 mld zł (wzrost o 2,6 proc.).</w:t>
      </w:r>
    </w:p>
    <w:p w14:paraId="7E6CE48E" w14:textId="7A9E7B64" w:rsidR="00437B10" w:rsidRDefault="00437B10" w:rsidP="002E69A3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2"/>
          <w:szCs w:val="22"/>
        </w:rPr>
      </w:pPr>
      <w:r w:rsidRPr="002E69A3">
        <w:rPr>
          <w:rFonts w:cstheme="minorHAnsi"/>
          <w:sz w:val="22"/>
          <w:szCs w:val="22"/>
        </w:rPr>
        <w:t>Nieruchomości – 0,4 mld zł (spadek o 1,8 proc.).</w:t>
      </w:r>
    </w:p>
    <w:p w14:paraId="405B3E42" w14:textId="29130D60" w:rsidR="00FC141D" w:rsidRPr="00FC141D" w:rsidRDefault="00FC141D" w:rsidP="00FC141D">
      <w:pPr>
        <w:spacing w:line="36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inline distT="0" distB="0" distL="0" distR="0" wp14:anchorId="5AF4D485" wp14:editId="61B3367F">
            <wp:extent cx="5759450" cy="3551555"/>
            <wp:effectExtent l="0" t="0" r="0" b="0"/>
            <wp:docPr id="200865028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650287" name="Obraz 200865028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92A2D" w14:textId="77777777" w:rsidR="00437B10" w:rsidRPr="002E69A3" w:rsidRDefault="00437B10" w:rsidP="00437B10">
      <w:pPr>
        <w:spacing w:line="360" w:lineRule="auto"/>
        <w:jc w:val="both"/>
        <w:rPr>
          <w:rFonts w:cstheme="minorHAnsi"/>
          <w:b/>
          <w:bCs/>
          <w:color w:val="0070C0"/>
        </w:rPr>
      </w:pPr>
      <w:r w:rsidRPr="002E69A3">
        <w:rPr>
          <w:rFonts w:cstheme="minorHAnsi"/>
          <w:b/>
          <w:bCs/>
          <w:color w:val="0070C0"/>
        </w:rPr>
        <w:t>Perspektywy rynku leasingu</w:t>
      </w:r>
    </w:p>
    <w:p w14:paraId="5323CD4C" w14:textId="77777777" w:rsidR="00437B10" w:rsidRP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Związek Polskiego Leasingu szacuje wzrost rynku w całym 2026 roku na poziomie 8,4 proc. Oznacza to sfinansowanie inwestycji przedsiębiorstw o wartości około 129,5 mld zł, wobec 119,5 mld zł w 2025 r.</w:t>
      </w:r>
    </w:p>
    <w:p w14:paraId="1F87CB5B" w14:textId="77777777" w:rsidR="00437B10" w:rsidRPr="00437B1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t>Prognoza zakłada utrzymanie aktywności inwestycyjnej przedsiębiorstw oraz wyraźne przyspieszenie inwestycji w gospodarce w drugiej połowie roku. Sprzyjać temu będzie kumulacja środków z Krajowego Planu Odbudowy, funduszy polityki spójności z perspektywy 2021–2027 oraz programu SAFE. Ze względu na opóźnienia w realizacji projektów i wolniejsze przekazywanie środków beneficjentom, znacząca część inwestycji finansowanych z KPO przesunęła się z 2025 na 2026 rok.</w:t>
      </w:r>
    </w:p>
    <w:p w14:paraId="7D12C533" w14:textId="3791275E" w:rsidR="009E4CF0" w:rsidRDefault="00437B10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 w:rsidRPr="00437B10">
        <w:rPr>
          <w:rFonts w:cstheme="minorHAnsi"/>
          <w:sz w:val="22"/>
          <w:szCs w:val="22"/>
        </w:rPr>
        <w:lastRenderedPageBreak/>
        <w:t>Związek Polskiego Leasingu szacuje, że wydatki inwestycyjne finansowane ze środków unijnych mogą wynieść w tym roku około 182 mld zł. Tak znaczący wzrost będzie silnym impulsem dla inwestycji prywatnych, zwłaszcza sektora MŚP, co powinno pozytywnie wpłynąć na rozwój rynku leasingu.</w:t>
      </w:r>
    </w:p>
    <w:p w14:paraId="3968C8A5" w14:textId="24A33B40" w:rsidR="00305FB9" w:rsidRPr="009E4CF0" w:rsidRDefault="005A346E" w:rsidP="00437B10">
      <w:pPr>
        <w:spacing w:line="36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inline distT="0" distB="0" distL="0" distR="0" wp14:anchorId="2524DB98" wp14:editId="6009C7E2">
            <wp:extent cx="5759450" cy="3676650"/>
            <wp:effectExtent l="0" t="0" r="0" b="0"/>
            <wp:docPr id="174953715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537156" name="Obraz 174953715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2F1C0" w14:textId="7DFBCDD1" w:rsidR="004503EC" w:rsidRPr="00AD4E46" w:rsidRDefault="00000000" w:rsidP="00437B10">
      <w:pPr>
        <w:spacing w:before="240" w:after="240" w:line="360" w:lineRule="auto"/>
        <w:jc w:val="both"/>
        <w:rPr>
          <w:rFonts w:cstheme="minorHAnsi"/>
          <w:sz w:val="32"/>
          <w:szCs w:val="32"/>
        </w:rPr>
      </w:pPr>
      <w:r>
        <w:rPr>
          <w:rFonts w:cstheme="minorHAnsi"/>
          <w:b/>
          <w:bCs/>
          <w:color w:val="0070C0"/>
          <w:sz w:val="32"/>
          <w:szCs w:val="32"/>
        </w:rPr>
        <w:pict w14:anchorId="754BF4D0">
          <v:rect id="_x0000_i1025" style="width:0;height:1.5pt" o:hralign="center" o:hrstd="t" o:hr="t" fillcolor="#a0a0a0" stroked="f"/>
        </w:pict>
      </w:r>
    </w:p>
    <w:p w14:paraId="40E5B297" w14:textId="77777777" w:rsidR="008B319C" w:rsidRPr="00AD4E46" w:rsidRDefault="008B319C" w:rsidP="00437B10">
      <w:pPr>
        <w:spacing w:before="240" w:line="360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4B079E54" w14:textId="016BEB00" w:rsidR="000026C6" w:rsidRPr="00AD4E46" w:rsidRDefault="004F7B4A" w:rsidP="00437B10">
      <w:pPr>
        <w:tabs>
          <w:tab w:val="num" w:pos="720"/>
        </w:tabs>
        <w:spacing w:before="240" w:line="360" w:lineRule="auto"/>
        <w:jc w:val="both"/>
        <w:rPr>
          <w:rFonts w:cstheme="minorHAnsi"/>
          <w:sz w:val="16"/>
          <w:szCs w:val="16"/>
          <w:shd w:val="clear" w:color="auto" w:fill="FFFFFF"/>
        </w:rPr>
      </w:pPr>
      <w:r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37 podmiotów obejmujących ponad 90 proc. sektora: 36 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 zakresie regulacji dotyczących leasingu. Związek jest aktywnym członkiem Leaseurope – europejskiej federacji organizacji branży leasingowej i wynajmu pojazdów, zrzeszającej 45 stowarzyszeń z 32 krajów Europy. W 2024 roku ZPL obchodził 30-lecie istnienia. W ciągu trzech dekad firmy leasingowe przeznaczyły ponad 1 bln zł na inwestycje przedsiębiorstw działających w Polsce. W 2025 roku firmy leasingowe sfinansowały inwestycje przedsiębiorstw na kwotę 119,5 mld zł. Oznacza to wzrost rynku o 8,1 proc. r/r.</w:t>
      </w:r>
    </w:p>
    <w:p w14:paraId="143F7770" w14:textId="77777777" w:rsidR="008B319C" w:rsidRPr="00AD4E46" w:rsidRDefault="008B319C" w:rsidP="00437B10">
      <w:pPr>
        <w:spacing w:line="360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Pr="00AD4E46" w:rsidRDefault="008B319C" w:rsidP="00437B10">
      <w:pPr>
        <w:spacing w:line="360" w:lineRule="auto"/>
        <w:jc w:val="both"/>
        <w:rPr>
          <w:rFonts w:cstheme="minorHAnsi"/>
        </w:rPr>
      </w:pPr>
      <w:r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1" w:history="1">
        <w:r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6700255" w14:textId="63520437" w:rsidR="008B319C" w:rsidRPr="00AD4E46" w:rsidRDefault="00000000" w:rsidP="00437B10">
      <w:pPr>
        <w:spacing w:line="360" w:lineRule="auto"/>
        <w:jc w:val="both"/>
        <w:rPr>
          <w:rFonts w:cstheme="minorHAnsi"/>
        </w:rPr>
      </w:pPr>
      <w:r>
        <w:rPr>
          <w:rFonts w:cstheme="minorHAnsi"/>
          <w:b/>
          <w:bCs/>
          <w:color w:val="0070C0"/>
          <w:sz w:val="32"/>
          <w:szCs w:val="32"/>
        </w:rPr>
        <w:lastRenderedPageBreak/>
        <w:pict w14:anchorId="6A5E4DC0">
          <v:rect id="_x0000_i1026" style="width:0;height:1.5pt" o:hralign="center" o:hrstd="t" o:hr="t" fillcolor="#a0a0a0" stroked="f"/>
        </w:pict>
      </w:r>
    </w:p>
    <w:p w14:paraId="72165DC1" w14:textId="77777777" w:rsidR="008B319C" w:rsidRPr="00AD4E46" w:rsidRDefault="008B319C" w:rsidP="00437B10">
      <w:pPr>
        <w:spacing w:line="360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>
        <w:rPr>
          <w:rFonts w:cstheme="minorHAnsi"/>
          <w:b/>
          <w:sz w:val="18"/>
          <w:szCs w:val="18"/>
          <w:shd w:val="clear" w:color="auto" w:fill="FFFFFF"/>
        </w:rPr>
        <w:t>Kontakt dla mediów:</w:t>
      </w:r>
    </w:p>
    <w:p w14:paraId="5F179E03" w14:textId="77777777" w:rsidR="008B319C" w:rsidRPr="00AD4E46" w:rsidRDefault="008B319C" w:rsidP="00437B10">
      <w:pPr>
        <w:spacing w:line="36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AD4E46" w:rsidRDefault="008B319C" w:rsidP="00437B10">
      <w:pPr>
        <w:spacing w:line="36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AD4E46" w:rsidRDefault="008B319C" w:rsidP="00437B10">
      <w:pPr>
        <w:spacing w:line="360" w:lineRule="auto"/>
        <w:jc w:val="both"/>
        <w:rPr>
          <w:rFonts w:cstheme="minorHAnsi"/>
          <w:sz w:val="18"/>
          <w:szCs w:val="18"/>
          <w:lang w:val="de-DE"/>
        </w:rPr>
      </w:pPr>
      <w:proofErr w:type="spellStart"/>
      <w:r>
        <w:rPr>
          <w:rFonts w:cstheme="minorHAnsi"/>
          <w:sz w:val="18"/>
          <w:szCs w:val="18"/>
          <w:lang w:val="de-DE"/>
        </w:rPr>
        <w:t>e-mail</w:t>
      </w:r>
      <w:proofErr w:type="spellEnd"/>
      <w:r>
        <w:rPr>
          <w:rFonts w:cstheme="minorHAnsi"/>
          <w:sz w:val="18"/>
          <w:szCs w:val="18"/>
          <w:lang w:val="de-DE"/>
        </w:rPr>
        <w:t xml:space="preserve">: katarzyna.ostrowska@leasing.org.pl </w:t>
      </w:r>
    </w:p>
    <w:p w14:paraId="29DD4912" w14:textId="6EE3BBD2" w:rsidR="008B319C" w:rsidRPr="00AD4E46" w:rsidRDefault="008B319C" w:rsidP="00437B10">
      <w:pPr>
        <w:spacing w:line="36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tel.: (+48) 697 770 498</w:t>
      </w:r>
    </w:p>
    <w:p w14:paraId="29490517" w14:textId="6A003B30" w:rsidR="008B319C" w:rsidRPr="00AD4E46" w:rsidRDefault="008B319C" w:rsidP="00437B10">
      <w:pPr>
        <w:spacing w:line="36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Śledź nas na: </w:t>
      </w:r>
    </w:p>
    <w:p w14:paraId="71551D1E" w14:textId="77777777" w:rsidR="008B319C" w:rsidRPr="00AD4E46" w:rsidRDefault="008B319C" w:rsidP="00437B10">
      <w:pPr>
        <w:spacing w:line="360" w:lineRule="auto"/>
        <w:jc w:val="both"/>
        <w:rPr>
          <w:rFonts w:cstheme="minorHAnsi"/>
        </w:rPr>
      </w:pPr>
      <w:r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2"/>
                    </pic:cNvPr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4"/>
                    </pic:cNvPr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14914" w14:textId="77777777" w:rsidR="008B319C" w:rsidRPr="00AD4E46" w:rsidRDefault="008B319C" w:rsidP="00437B10">
      <w:pPr>
        <w:spacing w:line="360" w:lineRule="auto"/>
        <w:jc w:val="both"/>
        <w:rPr>
          <w:rFonts w:cstheme="minorHAnsi"/>
        </w:rPr>
      </w:pPr>
    </w:p>
    <w:sectPr w:rsidR="008B319C" w:rsidRPr="00AD4E46" w:rsidSect="00D8460D">
      <w:headerReference w:type="default" r:id="rId16"/>
      <w:footerReference w:type="default" r:id="rId17"/>
      <w:pgSz w:w="11906" w:h="16838"/>
      <w:pgMar w:top="3970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1B5D2" w14:textId="77777777" w:rsidR="009E7B65" w:rsidRDefault="009E7B65" w:rsidP="00C64445">
      <w:r>
        <w:separator/>
      </w:r>
    </w:p>
  </w:endnote>
  <w:endnote w:type="continuationSeparator" w:id="0">
    <w:p w14:paraId="1103AA8D" w14:textId="77777777" w:rsidR="009E7B65" w:rsidRDefault="009E7B65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4739538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20B6F" w14:textId="77777777" w:rsidR="009E7B65" w:rsidRDefault="009E7B65" w:rsidP="00C64445">
      <w:r>
        <w:separator/>
      </w:r>
    </w:p>
  </w:footnote>
  <w:footnote w:type="continuationSeparator" w:id="0">
    <w:p w14:paraId="41171ED0" w14:textId="77777777" w:rsidR="009E7B65" w:rsidRDefault="009E7B65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6EE0579F" w:rsidR="00C64445" w:rsidRDefault="00000000">
    <w:pPr>
      <w:pStyle w:val="Nagwek"/>
    </w:pPr>
    <w:sdt>
      <w:sdtPr>
        <w:id w:val="1595672344"/>
        <w:docPartObj>
          <w:docPartGallery w:val="Page Numbers (Margins)"/>
          <w:docPartUnique/>
        </w:docPartObj>
      </w:sdtPr>
      <w:sdtContent>
        <w:r w:rsidR="00506058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B46C4CC" wp14:editId="7B03281C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32765" cy="2183130"/>
                  <wp:effectExtent l="0" t="0" r="3810" b="0"/>
                  <wp:wrapNone/>
                  <wp:docPr id="1409853186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276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F8AE68" w14:textId="77777777" w:rsidR="00506058" w:rsidRDefault="00506058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B46C4CC" id="Prostokąt 1" o:spid="_x0000_s1026" style="position:absolute;margin-left:0;margin-top:0;width:41.95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4F8AE68" w14:textId="77777777" w:rsidR="00506058" w:rsidRDefault="00506058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684E74"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1458316460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F22DB"/>
    <w:multiLevelType w:val="hybridMultilevel"/>
    <w:tmpl w:val="E4A88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90802"/>
    <w:multiLevelType w:val="hybridMultilevel"/>
    <w:tmpl w:val="E856A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64C39"/>
    <w:multiLevelType w:val="hybridMultilevel"/>
    <w:tmpl w:val="E5CC4648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0115F89"/>
    <w:multiLevelType w:val="hybridMultilevel"/>
    <w:tmpl w:val="8A987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71E60"/>
    <w:multiLevelType w:val="hybridMultilevel"/>
    <w:tmpl w:val="E9449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9834AF"/>
    <w:multiLevelType w:val="hybridMultilevel"/>
    <w:tmpl w:val="A6323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AF5C26"/>
    <w:multiLevelType w:val="hybridMultilevel"/>
    <w:tmpl w:val="C4AEF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A73046"/>
    <w:multiLevelType w:val="hybridMultilevel"/>
    <w:tmpl w:val="64CA2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F07EA9"/>
    <w:multiLevelType w:val="multilevel"/>
    <w:tmpl w:val="C79AE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7F2EDF"/>
    <w:multiLevelType w:val="hybridMultilevel"/>
    <w:tmpl w:val="980CA03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024A76"/>
    <w:multiLevelType w:val="hybridMultilevel"/>
    <w:tmpl w:val="9E849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3581261">
    <w:abstractNumId w:val="8"/>
  </w:num>
  <w:num w:numId="2" w16cid:durableId="1493990258">
    <w:abstractNumId w:val="4"/>
  </w:num>
  <w:num w:numId="3" w16cid:durableId="821774394">
    <w:abstractNumId w:val="5"/>
  </w:num>
  <w:num w:numId="4" w16cid:durableId="1610552384">
    <w:abstractNumId w:val="1"/>
  </w:num>
  <w:num w:numId="5" w16cid:durableId="445661475">
    <w:abstractNumId w:val="3"/>
  </w:num>
  <w:num w:numId="6" w16cid:durableId="542904170">
    <w:abstractNumId w:val="2"/>
  </w:num>
  <w:num w:numId="7" w16cid:durableId="1630624306">
    <w:abstractNumId w:val="10"/>
  </w:num>
  <w:num w:numId="8" w16cid:durableId="716274689">
    <w:abstractNumId w:val="0"/>
  </w:num>
  <w:num w:numId="9" w16cid:durableId="1925069141">
    <w:abstractNumId w:val="7"/>
  </w:num>
  <w:num w:numId="10" w16cid:durableId="1012806953">
    <w:abstractNumId w:val="6"/>
  </w:num>
  <w:num w:numId="11" w16cid:durableId="1931548134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007F2"/>
    <w:rsid w:val="000026B6"/>
    <w:rsid w:val="000026C6"/>
    <w:rsid w:val="00004027"/>
    <w:rsid w:val="000119FB"/>
    <w:rsid w:val="000139EE"/>
    <w:rsid w:val="00015B85"/>
    <w:rsid w:val="00017649"/>
    <w:rsid w:val="0001765A"/>
    <w:rsid w:val="0002000A"/>
    <w:rsid w:val="000230B3"/>
    <w:rsid w:val="0002341D"/>
    <w:rsid w:val="00026258"/>
    <w:rsid w:val="00026267"/>
    <w:rsid w:val="000270DE"/>
    <w:rsid w:val="000279C9"/>
    <w:rsid w:val="00030263"/>
    <w:rsid w:val="000309AF"/>
    <w:rsid w:val="00030CBE"/>
    <w:rsid w:val="000378A7"/>
    <w:rsid w:val="00040A75"/>
    <w:rsid w:val="000426F8"/>
    <w:rsid w:val="00043408"/>
    <w:rsid w:val="00045B7F"/>
    <w:rsid w:val="00046B54"/>
    <w:rsid w:val="00046BA6"/>
    <w:rsid w:val="0005239B"/>
    <w:rsid w:val="00054B09"/>
    <w:rsid w:val="00060AAA"/>
    <w:rsid w:val="00062F1F"/>
    <w:rsid w:val="00070A65"/>
    <w:rsid w:val="0007320F"/>
    <w:rsid w:val="00073948"/>
    <w:rsid w:val="00074185"/>
    <w:rsid w:val="00075D79"/>
    <w:rsid w:val="00080C41"/>
    <w:rsid w:val="00080F9A"/>
    <w:rsid w:val="00085624"/>
    <w:rsid w:val="0008695F"/>
    <w:rsid w:val="00087C5A"/>
    <w:rsid w:val="00091456"/>
    <w:rsid w:val="000918F6"/>
    <w:rsid w:val="00096CA6"/>
    <w:rsid w:val="00097119"/>
    <w:rsid w:val="000A145A"/>
    <w:rsid w:val="000B2597"/>
    <w:rsid w:val="000B25F9"/>
    <w:rsid w:val="000B30BE"/>
    <w:rsid w:val="000B42C8"/>
    <w:rsid w:val="000B5BB8"/>
    <w:rsid w:val="000C1967"/>
    <w:rsid w:val="000C430A"/>
    <w:rsid w:val="000C60C8"/>
    <w:rsid w:val="000D295A"/>
    <w:rsid w:val="000D2C07"/>
    <w:rsid w:val="000D55C9"/>
    <w:rsid w:val="000D734F"/>
    <w:rsid w:val="000E3F2C"/>
    <w:rsid w:val="000E44B4"/>
    <w:rsid w:val="000E4EC0"/>
    <w:rsid w:val="000E5778"/>
    <w:rsid w:val="000F0265"/>
    <w:rsid w:val="000F1E11"/>
    <w:rsid w:val="000F3205"/>
    <w:rsid w:val="00101995"/>
    <w:rsid w:val="00103CEB"/>
    <w:rsid w:val="00104425"/>
    <w:rsid w:val="001054ED"/>
    <w:rsid w:val="001056CC"/>
    <w:rsid w:val="0011042D"/>
    <w:rsid w:val="00111056"/>
    <w:rsid w:val="001150F9"/>
    <w:rsid w:val="00116B72"/>
    <w:rsid w:val="00122775"/>
    <w:rsid w:val="001230CD"/>
    <w:rsid w:val="00124778"/>
    <w:rsid w:val="001253A1"/>
    <w:rsid w:val="00125E6E"/>
    <w:rsid w:val="00126D7E"/>
    <w:rsid w:val="00127BEE"/>
    <w:rsid w:val="00131CD0"/>
    <w:rsid w:val="00131D75"/>
    <w:rsid w:val="00133576"/>
    <w:rsid w:val="00135BFF"/>
    <w:rsid w:val="001416AC"/>
    <w:rsid w:val="00141CAA"/>
    <w:rsid w:val="0014353F"/>
    <w:rsid w:val="00144EE1"/>
    <w:rsid w:val="0014511E"/>
    <w:rsid w:val="001452BD"/>
    <w:rsid w:val="00145459"/>
    <w:rsid w:val="001519EE"/>
    <w:rsid w:val="00152DE2"/>
    <w:rsid w:val="0015561F"/>
    <w:rsid w:val="00155F5D"/>
    <w:rsid w:val="00157180"/>
    <w:rsid w:val="00164D38"/>
    <w:rsid w:val="001652B8"/>
    <w:rsid w:val="00165647"/>
    <w:rsid w:val="001657AB"/>
    <w:rsid w:val="0016778E"/>
    <w:rsid w:val="00173204"/>
    <w:rsid w:val="00173D00"/>
    <w:rsid w:val="001810B5"/>
    <w:rsid w:val="0018129A"/>
    <w:rsid w:val="0018289C"/>
    <w:rsid w:val="00182F71"/>
    <w:rsid w:val="00183436"/>
    <w:rsid w:val="00184F8B"/>
    <w:rsid w:val="0018507B"/>
    <w:rsid w:val="00186150"/>
    <w:rsid w:val="00192A39"/>
    <w:rsid w:val="00192F40"/>
    <w:rsid w:val="0019410B"/>
    <w:rsid w:val="00196147"/>
    <w:rsid w:val="001A06B9"/>
    <w:rsid w:val="001A3E5F"/>
    <w:rsid w:val="001A4918"/>
    <w:rsid w:val="001A4F29"/>
    <w:rsid w:val="001A5150"/>
    <w:rsid w:val="001A6855"/>
    <w:rsid w:val="001A7D3A"/>
    <w:rsid w:val="001B0556"/>
    <w:rsid w:val="001B1BD1"/>
    <w:rsid w:val="001B37C5"/>
    <w:rsid w:val="001B40F3"/>
    <w:rsid w:val="001B69BB"/>
    <w:rsid w:val="001C02E9"/>
    <w:rsid w:val="001C109B"/>
    <w:rsid w:val="001C2893"/>
    <w:rsid w:val="001C44BB"/>
    <w:rsid w:val="001C58A6"/>
    <w:rsid w:val="001D18E0"/>
    <w:rsid w:val="001D26CA"/>
    <w:rsid w:val="001D4278"/>
    <w:rsid w:val="001D432B"/>
    <w:rsid w:val="001D46CD"/>
    <w:rsid w:val="001D58F4"/>
    <w:rsid w:val="001D6F0C"/>
    <w:rsid w:val="001E2415"/>
    <w:rsid w:val="001E59CF"/>
    <w:rsid w:val="001F1650"/>
    <w:rsid w:val="001F250F"/>
    <w:rsid w:val="001F2866"/>
    <w:rsid w:val="001F41AE"/>
    <w:rsid w:val="001F505B"/>
    <w:rsid w:val="001F57AC"/>
    <w:rsid w:val="001F7E64"/>
    <w:rsid w:val="002056E9"/>
    <w:rsid w:val="00207CFE"/>
    <w:rsid w:val="00210202"/>
    <w:rsid w:val="002113D3"/>
    <w:rsid w:val="00212802"/>
    <w:rsid w:val="00214B24"/>
    <w:rsid w:val="0021534F"/>
    <w:rsid w:val="002169BD"/>
    <w:rsid w:val="00221364"/>
    <w:rsid w:val="0022388D"/>
    <w:rsid w:val="0022460D"/>
    <w:rsid w:val="00224D89"/>
    <w:rsid w:val="00225C07"/>
    <w:rsid w:val="002267A3"/>
    <w:rsid w:val="00232A86"/>
    <w:rsid w:val="00234973"/>
    <w:rsid w:val="00240195"/>
    <w:rsid w:val="00240836"/>
    <w:rsid w:val="00244973"/>
    <w:rsid w:val="00246C6F"/>
    <w:rsid w:val="0025147D"/>
    <w:rsid w:val="00251977"/>
    <w:rsid w:val="00252CAB"/>
    <w:rsid w:val="00254A49"/>
    <w:rsid w:val="002555B6"/>
    <w:rsid w:val="00257990"/>
    <w:rsid w:val="0026034E"/>
    <w:rsid w:val="0026188F"/>
    <w:rsid w:val="00263A06"/>
    <w:rsid w:val="002663A2"/>
    <w:rsid w:val="0026795E"/>
    <w:rsid w:val="002733C7"/>
    <w:rsid w:val="00274BFC"/>
    <w:rsid w:val="0027542A"/>
    <w:rsid w:val="00275926"/>
    <w:rsid w:val="00275C3C"/>
    <w:rsid w:val="00277A38"/>
    <w:rsid w:val="00284ECC"/>
    <w:rsid w:val="002850D6"/>
    <w:rsid w:val="002920D8"/>
    <w:rsid w:val="00292949"/>
    <w:rsid w:val="00292C1B"/>
    <w:rsid w:val="002951E3"/>
    <w:rsid w:val="00295E2E"/>
    <w:rsid w:val="002960C5"/>
    <w:rsid w:val="00297079"/>
    <w:rsid w:val="002A12B0"/>
    <w:rsid w:val="002A13CB"/>
    <w:rsid w:val="002A359B"/>
    <w:rsid w:val="002A4F17"/>
    <w:rsid w:val="002B5E79"/>
    <w:rsid w:val="002B6EFC"/>
    <w:rsid w:val="002C12B9"/>
    <w:rsid w:val="002C2302"/>
    <w:rsid w:val="002C5C7C"/>
    <w:rsid w:val="002C6A8C"/>
    <w:rsid w:val="002C6C93"/>
    <w:rsid w:val="002C7453"/>
    <w:rsid w:val="002D134A"/>
    <w:rsid w:val="002D1D18"/>
    <w:rsid w:val="002D5E88"/>
    <w:rsid w:val="002D6FAD"/>
    <w:rsid w:val="002D7150"/>
    <w:rsid w:val="002E0CDC"/>
    <w:rsid w:val="002E3500"/>
    <w:rsid w:val="002E460E"/>
    <w:rsid w:val="002E5331"/>
    <w:rsid w:val="002E6759"/>
    <w:rsid w:val="002E69A3"/>
    <w:rsid w:val="002F0CE3"/>
    <w:rsid w:val="002F1271"/>
    <w:rsid w:val="002F15BD"/>
    <w:rsid w:val="002F5B77"/>
    <w:rsid w:val="002F5D61"/>
    <w:rsid w:val="0030270E"/>
    <w:rsid w:val="00302FCE"/>
    <w:rsid w:val="00303AFC"/>
    <w:rsid w:val="00305E62"/>
    <w:rsid w:val="00305FB9"/>
    <w:rsid w:val="003120D4"/>
    <w:rsid w:val="00312863"/>
    <w:rsid w:val="003133C9"/>
    <w:rsid w:val="00314258"/>
    <w:rsid w:val="00315F53"/>
    <w:rsid w:val="0031628C"/>
    <w:rsid w:val="003203EA"/>
    <w:rsid w:val="003214C3"/>
    <w:rsid w:val="00323759"/>
    <w:rsid w:val="00323ED1"/>
    <w:rsid w:val="00324735"/>
    <w:rsid w:val="0032528B"/>
    <w:rsid w:val="003266DF"/>
    <w:rsid w:val="00331675"/>
    <w:rsid w:val="00331B7F"/>
    <w:rsid w:val="00333A1E"/>
    <w:rsid w:val="00333E20"/>
    <w:rsid w:val="00337A6D"/>
    <w:rsid w:val="00341428"/>
    <w:rsid w:val="00341CEF"/>
    <w:rsid w:val="00344C95"/>
    <w:rsid w:val="00344DAC"/>
    <w:rsid w:val="00345D97"/>
    <w:rsid w:val="00346494"/>
    <w:rsid w:val="00351CD6"/>
    <w:rsid w:val="0035399E"/>
    <w:rsid w:val="0035563D"/>
    <w:rsid w:val="00361E8C"/>
    <w:rsid w:val="003668F0"/>
    <w:rsid w:val="0037098F"/>
    <w:rsid w:val="00370D35"/>
    <w:rsid w:val="003724FA"/>
    <w:rsid w:val="00373609"/>
    <w:rsid w:val="00375A9C"/>
    <w:rsid w:val="00381B26"/>
    <w:rsid w:val="00382534"/>
    <w:rsid w:val="00382C8A"/>
    <w:rsid w:val="00385164"/>
    <w:rsid w:val="003866DC"/>
    <w:rsid w:val="0038788E"/>
    <w:rsid w:val="00391B3D"/>
    <w:rsid w:val="003921F7"/>
    <w:rsid w:val="0039255D"/>
    <w:rsid w:val="00394118"/>
    <w:rsid w:val="003949C9"/>
    <w:rsid w:val="003A40AA"/>
    <w:rsid w:val="003A7A18"/>
    <w:rsid w:val="003B3761"/>
    <w:rsid w:val="003B3915"/>
    <w:rsid w:val="003B4004"/>
    <w:rsid w:val="003C1EEB"/>
    <w:rsid w:val="003C3AAE"/>
    <w:rsid w:val="003C5926"/>
    <w:rsid w:val="003C7F49"/>
    <w:rsid w:val="003D27B8"/>
    <w:rsid w:val="003D38C0"/>
    <w:rsid w:val="003D5772"/>
    <w:rsid w:val="003D596A"/>
    <w:rsid w:val="003D6437"/>
    <w:rsid w:val="003D712E"/>
    <w:rsid w:val="003D7E75"/>
    <w:rsid w:val="003D7EBE"/>
    <w:rsid w:val="003E272E"/>
    <w:rsid w:val="003E27D4"/>
    <w:rsid w:val="003E6DA1"/>
    <w:rsid w:val="003E6FCE"/>
    <w:rsid w:val="003F119A"/>
    <w:rsid w:val="003F19FE"/>
    <w:rsid w:val="003F330C"/>
    <w:rsid w:val="003F578D"/>
    <w:rsid w:val="003F76C1"/>
    <w:rsid w:val="004010E2"/>
    <w:rsid w:val="004011FD"/>
    <w:rsid w:val="0040246D"/>
    <w:rsid w:val="00405283"/>
    <w:rsid w:val="00406D43"/>
    <w:rsid w:val="0040767D"/>
    <w:rsid w:val="004172E6"/>
    <w:rsid w:val="0041741F"/>
    <w:rsid w:val="00424AF5"/>
    <w:rsid w:val="00425870"/>
    <w:rsid w:val="004264AB"/>
    <w:rsid w:val="004265DE"/>
    <w:rsid w:val="00430485"/>
    <w:rsid w:val="00433D1C"/>
    <w:rsid w:val="00434AE2"/>
    <w:rsid w:val="00434F86"/>
    <w:rsid w:val="004354F3"/>
    <w:rsid w:val="00435967"/>
    <w:rsid w:val="00436812"/>
    <w:rsid w:val="00437B10"/>
    <w:rsid w:val="00442B70"/>
    <w:rsid w:val="00450051"/>
    <w:rsid w:val="004503EC"/>
    <w:rsid w:val="004507D3"/>
    <w:rsid w:val="00450DF3"/>
    <w:rsid w:val="00451821"/>
    <w:rsid w:val="00451868"/>
    <w:rsid w:val="00452D59"/>
    <w:rsid w:val="00454F26"/>
    <w:rsid w:val="00461B13"/>
    <w:rsid w:val="0046442C"/>
    <w:rsid w:val="00466719"/>
    <w:rsid w:val="004729B0"/>
    <w:rsid w:val="004744E0"/>
    <w:rsid w:val="00474E5C"/>
    <w:rsid w:val="00475945"/>
    <w:rsid w:val="00475CFC"/>
    <w:rsid w:val="00475D70"/>
    <w:rsid w:val="00476273"/>
    <w:rsid w:val="00481D5E"/>
    <w:rsid w:val="0048231F"/>
    <w:rsid w:val="00482ACC"/>
    <w:rsid w:val="004839F4"/>
    <w:rsid w:val="004846DD"/>
    <w:rsid w:val="00484F1D"/>
    <w:rsid w:val="00485DF4"/>
    <w:rsid w:val="00486FEE"/>
    <w:rsid w:val="0049322D"/>
    <w:rsid w:val="004964F3"/>
    <w:rsid w:val="00496EDF"/>
    <w:rsid w:val="004A0755"/>
    <w:rsid w:val="004A320C"/>
    <w:rsid w:val="004A3A6A"/>
    <w:rsid w:val="004A7C2A"/>
    <w:rsid w:val="004B1503"/>
    <w:rsid w:val="004B438B"/>
    <w:rsid w:val="004B4417"/>
    <w:rsid w:val="004C0587"/>
    <w:rsid w:val="004C51EE"/>
    <w:rsid w:val="004C744E"/>
    <w:rsid w:val="004C776E"/>
    <w:rsid w:val="004D0ADF"/>
    <w:rsid w:val="004D1ABE"/>
    <w:rsid w:val="004D3680"/>
    <w:rsid w:val="004D4C83"/>
    <w:rsid w:val="004E0580"/>
    <w:rsid w:val="004E22B6"/>
    <w:rsid w:val="004E3ADB"/>
    <w:rsid w:val="004E55E8"/>
    <w:rsid w:val="004E5A8F"/>
    <w:rsid w:val="004F132C"/>
    <w:rsid w:val="004F35AD"/>
    <w:rsid w:val="004F420F"/>
    <w:rsid w:val="004F4588"/>
    <w:rsid w:val="004F6CF3"/>
    <w:rsid w:val="004F7B4A"/>
    <w:rsid w:val="00506058"/>
    <w:rsid w:val="00507647"/>
    <w:rsid w:val="00510ACB"/>
    <w:rsid w:val="00515B42"/>
    <w:rsid w:val="00515D0B"/>
    <w:rsid w:val="0051752A"/>
    <w:rsid w:val="00520C4B"/>
    <w:rsid w:val="00521C30"/>
    <w:rsid w:val="00522292"/>
    <w:rsid w:val="00525BA2"/>
    <w:rsid w:val="00530663"/>
    <w:rsid w:val="00532612"/>
    <w:rsid w:val="005358EE"/>
    <w:rsid w:val="005360E6"/>
    <w:rsid w:val="005400DC"/>
    <w:rsid w:val="0054107B"/>
    <w:rsid w:val="00541EB6"/>
    <w:rsid w:val="00545346"/>
    <w:rsid w:val="0054694C"/>
    <w:rsid w:val="005470A0"/>
    <w:rsid w:val="005476F7"/>
    <w:rsid w:val="00547D16"/>
    <w:rsid w:val="0055022C"/>
    <w:rsid w:val="005549D9"/>
    <w:rsid w:val="00556701"/>
    <w:rsid w:val="00556E29"/>
    <w:rsid w:val="00557BA7"/>
    <w:rsid w:val="00560732"/>
    <w:rsid w:val="00560F08"/>
    <w:rsid w:val="00562477"/>
    <w:rsid w:val="00562969"/>
    <w:rsid w:val="00562F1D"/>
    <w:rsid w:val="00565455"/>
    <w:rsid w:val="0056600A"/>
    <w:rsid w:val="00566D6D"/>
    <w:rsid w:val="00572D23"/>
    <w:rsid w:val="00573F94"/>
    <w:rsid w:val="00580DCE"/>
    <w:rsid w:val="00582063"/>
    <w:rsid w:val="00586FB1"/>
    <w:rsid w:val="0059644F"/>
    <w:rsid w:val="005A1B28"/>
    <w:rsid w:val="005A28F6"/>
    <w:rsid w:val="005A346E"/>
    <w:rsid w:val="005A7684"/>
    <w:rsid w:val="005B0EF0"/>
    <w:rsid w:val="005B1906"/>
    <w:rsid w:val="005B3A4A"/>
    <w:rsid w:val="005B647C"/>
    <w:rsid w:val="005B749B"/>
    <w:rsid w:val="005B7DCB"/>
    <w:rsid w:val="005C00AE"/>
    <w:rsid w:val="005C0744"/>
    <w:rsid w:val="005C1291"/>
    <w:rsid w:val="005C5088"/>
    <w:rsid w:val="005C52F9"/>
    <w:rsid w:val="005C79FF"/>
    <w:rsid w:val="005D1494"/>
    <w:rsid w:val="005D1DED"/>
    <w:rsid w:val="005D242C"/>
    <w:rsid w:val="005D3DBC"/>
    <w:rsid w:val="005D552A"/>
    <w:rsid w:val="005D79D1"/>
    <w:rsid w:val="005E30C5"/>
    <w:rsid w:val="005E4120"/>
    <w:rsid w:val="005E4DB0"/>
    <w:rsid w:val="005E6D4A"/>
    <w:rsid w:val="005E6FF1"/>
    <w:rsid w:val="005F075A"/>
    <w:rsid w:val="005F0C58"/>
    <w:rsid w:val="005F1B59"/>
    <w:rsid w:val="005F2E6D"/>
    <w:rsid w:val="005F3FD4"/>
    <w:rsid w:val="005F7BAE"/>
    <w:rsid w:val="00605462"/>
    <w:rsid w:val="006075BA"/>
    <w:rsid w:val="00610E33"/>
    <w:rsid w:val="0061396D"/>
    <w:rsid w:val="00614730"/>
    <w:rsid w:val="00615150"/>
    <w:rsid w:val="0061555F"/>
    <w:rsid w:val="00623464"/>
    <w:rsid w:val="0062588B"/>
    <w:rsid w:val="00625AD9"/>
    <w:rsid w:val="006265C0"/>
    <w:rsid w:val="00630500"/>
    <w:rsid w:val="0063277D"/>
    <w:rsid w:val="00635BE4"/>
    <w:rsid w:val="00640C86"/>
    <w:rsid w:val="006411CD"/>
    <w:rsid w:val="00645008"/>
    <w:rsid w:val="00646047"/>
    <w:rsid w:val="00646957"/>
    <w:rsid w:val="00646C6B"/>
    <w:rsid w:val="00647128"/>
    <w:rsid w:val="0064771E"/>
    <w:rsid w:val="006504CB"/>
    <w:rsid w:val="00651AA9"/>
    <w:rsid w:val="0065259C"/>
    <w:rsid w:val="006529EF"/>
    <w:rsid w:val="00652D15"/>
    <w:rsid w:val="00653377"/>
    <w:rsid w:val="00653861"/>
    <w:rsid w:val="0065662B"/>
    <w:rsid w:val="00657786"/>
    <w:rsid w:val="006607CA"/>
    <w:rsid w:val="00660B1F"/>
    <w:rsid w:val="00663265"/>
    <w:rsid w:val="00664F20"/>
    <w:rsid w:val="006661C2"/>
    <w:rsid w:val="0066677E"/>
    <w:rsid w:val="00673CAB"/>
    <w:rsid w:val="00673F17"/>
    <w:rsid w:val="00674C1C"/>
    <w:rsid w:val="00676325"/>
    <w:rsid w:val="00676545"/>
    <w:rsid w:val="00680A06"/>
    <w:rsid w:val="006827B9"/>
    <w:rsid w:val="00683456"/>
    <w:rsid w:val="00683AC5"/>
    <w:rsid w:val="00684AB2"/>
    <w:rsid w:val="00684E74"/>
    <w:rsid w:val="00690163"/>
    <w:rsid w:val="00692578"/>
    <w:rsid w:val="00693171"/>
    <w:rsid w:val="0069433B"/>
    <w:rsid w:val="00697CDD"/>
    <w:rsid w:val="006A5BAD"/>
    <w:rsid w:val="006A60E5"/>
    <w:rsid w:val="006A69F5"/>
    <w:rsid w:val="006A7540"/>
    <w:rsid w:val="006B0A1B"/>
    <w:rsid w:val="006B1A20"/>
    <w:rsid w:val="006B2D5D"/>
    <w:rsid w:val="006B3997"/>
    <w:rsid w:val="006B573C"/>
    <w:rsid w:val="006B5C05"/>
    <w:rsid w:val="006C2AF0"/>
    <w:rsid w:val="006C3E97"/>
    <w:rsid w:val="006C4C6E"/>
    <w:rsid w:val="006C632C"/>
    <w:rsid w:val="006C6E7F"/>
    <w:rsid w:val="006D5D71"/>
    <w:rsid w:val="006E24D2"/>
    <w:rsid w:val="006E5616"/>
    <w:rsid w:val="006E59E2"/>
    <w:rsid w:val="006E5EF6"/>
    <w:rsid w:val="006E7501"/>
    <w:rsid w:val="006F522D"/>
    <w:rsid w:val="006F52A2"/>
    <w:rsid w:val="006F7161"/>
    <w:rsid w:val="00704512"/>
    <w:rsid w:val="007047DF"/>
    <w:rsid w:val="007054A9"/>
    <w:rsid w:val="007164E4"/>
    <w:rsid w:val="00716743"/>
    <w:rsid w:val="0071752C"/>
    <w:rsid w:val="00720711"/>
    <w:rsid w:val="00721283"/>
    <w:rsid w:val="00721B74"/>
    <w:rsid w:val="00724480"/>
    <w:rsid w:val="00724B90"/>
    <w:rsid w:val="00741314"/>
    <w:rsid w:val="007416A3"/>
    <w:rsid w:val="00742031"/>
    <w:rsid w:val="00743B2D"/>
    <w:rsid w:val="00744DA3"/>
    <w:rsid w:val="00745031"/>
    <w:rsid w:val="007466DD"/>
    <w:rsid w:val="00746A59"/>
    <w:rsid w:val="00747BEA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D07"/>
    <w:rsid w:val="00774F1A"/>
    <w:rsid w:val="00776CCD"/>
    <w:rsid w:val="00777099"/>
    <w:rsid w:val="007830D8"/>
    <w:rsid w:val="00783C8F"/>
    <w:rsid w:val="00783EE0"/>
    <w:rsid w:val="00784AE6"/>
    <w:rsid w:val="00784F4B"/>
    <w:rsid w:val="00786F57"/>
    <w:rsid w:val="00790FB6"/>
    <w:rsid w:val="00792427"/>
    <w:rsid w:val="00793345"/>
    <w:rsid w:val="00795547"/>
    <w:rsid w:val="00796272"/>
    <w:rsid w:val="007A1FBB"/>
    <w:rsid w:val="007A3B2C"/>
    <w:rsid w:val="007A6DED"/>
    <w:rsid w:val="007B5BF4"/>
    <w:rsid w:val="007B657D"/>
    <w:rsid w:val="007B66E7"/>
    <w:rsid w:val="007C239D"/>
    <w:rsid w:val="007C5EAB"/>
    <w:rsid w:val="007C699F"/>
    <w:rsid w:val="007C6B07"/>
    <w:rsid w:val="007C6EBB"/>
    <w:rsid w:val="007E07D2"/>
    <w:rsid w:val="007E1A60"/>
    <w:rsid w:val="007E4575"/>
    <w:rsid w:val="007E4E89"/>
    <w:rsid w:val="007E7A89"/>
    <w:rsid w:val="007F0AD9"/>
    <w:rsid w:val="007F31C2"/>
    <w:rsid w:val="007F7A9A"/>
    <w:rsid w:val="008031A6"/>
    <w:rsid w:val="008035D8"/>
    <w:rsid w:val="00803717"/>
    <w:rsid w:val="008077F1"/>
    <w:rsid w:val="0081108F"/>
    <w:rsid w:val="008116DD"/>
    <w:rsid w:val="00815865"/>
    <w:rsid w:val="008168EE"/>
    <w:rsid w:val="00820C25"/>
    <w:rsid w:val="00820D07"/>
    <w:rsid w:val="00821E0F"/>
    <w:rsid w:val="00821E6F"/>
    <w:rsid w:val="00821FA8"/>
    <w:rsid w:val="0082539A"/>
    <w:rsid w:val="0082600F"/>
    <w:rsid w:val="00827B67"/>
    <w:rsid w:val="008301AE"/>
    <w:rsid w:val="00831C99"/>
    <w:rsid w:val="00832EBF"/>
    <w:rsid w:val="008432D0"/>
    <w:rsid w:val="0084396B"/>
    <w:rsid w:val="00851589"/>
    <w:rsid w:val="00852158"/>
    <w:rsid w:val="00854AE6"/>
    <w:rsid w:val="00855B62"/>
    <w:rsid w:val="00856EC7"/>
    <w:rsid w:val="00857CDF"/>
    <w:rsid w:val="00861D0E"/>
    <w:rsid w:val="00862633"/>
    <w:rsid w:val="008648A3"/>
    <w:rsid w:val="00864E24"/>
    <w:rsid w:val="00865856"/>
    <w:rsid w:val="00872E13"/>
    <w:rsid w:val="0087655E"/>
    <w:rsid w:val="00882ADF"/>
    <w:rsid w:val="00884327"/>
    <w:rsid w:val="00884660"/>
    <w:rsid w:val="008850FB"/>
    <w:rsid w:val="00886BB3"/>
    <w:rsid w:val="00887C3F"/>
    <w:rsid w:val="00890AE9"/>
    <w:rsid w:val="00891E89"/>
    <w:rsid w:val="008A0225"/>
    <w:rsid w:val="008A14BB"/>
    <w:rsid w:val="008A1BF1"/>
    <w:rsid w:val="008A3215"/>
    <w:rsid w:val="008A3B4B"/>
    <w:rsid w:val="008A5AE1"/>
    <w:rsid w:val="008B0FED"/>
    <w:rsid w:val="008B2007"/>
    <w:rsid w:val="008B219E"/>
    <w:rsid w:val="008B319C"/>
    <w:rsid w:val="008B5006"/>
    <w:rsid w:val="008B7036"/>
    <w:rsid w:val="008C2C66"/>
    <w:rsid w:val="008C542A"/>
    <w:rsid w:val="008C6733"/>
    <w:rsid w:val="008C7422"/>
    <w:rsid w:val="008C789C"/>
    <w:rsid w:val="008C7DF1"/>
    <w:rsid w:val="008D0240"/>
    <w:rsid w:val="008D16A1"/>
    <w:rsid w:val="008D16E2"/>
    <w:rsid w:val="008D1DB5"/>
    <w:rsid w:val="008D3759"/>
    <w:rsid w:val="008D5762"/>
    <w:rsid w:val="008D6328"/>
    <w:rsid w:val="008D6873"/>
    <w:rsid w:val="008D6FBD"/>
    <w:rsid w:val="008E1240"/>
    <w:rsid w:val="008E131E"/>
    <w:rsid w:val="008E2A61"/>
    <w:rsid w:val="008F0B37"/>
    <w:rsid w:val="008F10D1"/>
    <w:rsid w:val="008F1EC6"/>
    <w:rsid w:val="008F2132"/>
    <w:rsid w:val="008F52B3"/>
    <w:rsid w:val="008F7436"/>
    <w:rsid w:val="008F79B7"/>
    <w:rsid w:val="00901F8C"/>
    <w:rsid w:val="00902941"/>
    <w:rsid w:val="00903E35"/>
    <w:rsid w:val="00907545"/>
    <w:rsid w:val="0091031B"/>
    <w:rsid w:val="00911849"/>
    <w:rsid w:val="00915107"/>
    <w:rsid w:val="00916687"/>
    <w:rsid w:val="00916EB2"/>
    <w:rsid w:val="0092013B"/>
    <w:rsid w:val="00921DC0"/>
    <w:rsid w:val="009252B8"/>
    <w:rsid w:val="0092588F"/>
    <w:rsid w:val="0092672B"/>
    <w:rsid w:val="009332A7"/>
    <w:rsid w:val="009420C4"/>
    <w:rsid w:val="00944EE3"/>
    <w:rsid w:val="009456F5"/>
    <w:rsid w:val="00946B4B"/>
    <w:rsid w:val="00946FD9"/>
    <w:rsid w:val="0095005E"/>
    <w:rsid w:val="00950201"/>
    <w:rsid w:val="0095059C"/>
    <w:rsid w:val="00953BBF"/>
    <w:rsid w:val="00954C24"/>
    <w:rsid w:val="00955C69"/>
    <w:rsid w:val="00955EA8"/>
    <w:rsid w:val="00957E14"/>
    <w:rsid w:val="00960903"/>
    <w:rsid w:val="00960D76"/>
    <w:rsid w:val="00961335"/>
    <w:rsid w:val="00962A4D"/>
    <w:rsid w:val="00966734"/>
    <w:rsid w:val="0097187E"/>
    <w:rsid w:val="009801BA"/>
    <w:rsid w:val="0098212D"/>
    <w:rsid w:val="0098763F"/>
    <w:rsid w:val="00990498"/>
    <w:rsid w:val="00990B70"/>
    <w:rsid w:val="0099247A"/>
    <w:rsid w:val="00992FFF"/>
    <w:rsid w:val="00996039"/>
    <w:rsid w:val="00997EBE"/>
    <w:rsid w:val="009A00D3"/>
    <w:rsid w:val="009A07C7"/>
    <w:rsid w:val="009A1C4A"/>
    <w:rsid w:val="009A26EC"/>
    <w:rsid w:val="009A521F"/>
    <w:rsid w:val="009A5C33"/>
    <w:rsid w:val="009A5EDC"/>
    <w:rsid w:val="009A6139"/>
    <w:rsid w:val="009B1199"/>
    <w:rsid w:val="009B11A5"/>
    <w:rsid w:val="009B1BD1"/>
    <w:rsid w:val="009B26B2"/>
    <w:rsid w:val="009B4E00"/>
    <w:rsid w:val="009B5647"/>
    <w:rsid w:val="009B7DA2"/>
    <w:rsid w:val="009C1CDF"/>
    <w:rsid w:val="009C3762"/>
    <w:rsid w:val="009C4D56"/>
    <w:rsid w:val="009C78BF"/>
    <w:rsid w:val="009D0B20"/>
    <w:rsid w:val="009D1180"/>
    <w:rsid w:val="009D1AA5"/>
    <w:rsid w:val="009D25C4"/>
    <w:rsid w:val="009D3C3E"/>
    <w:rsid w:val="009D58D4"/>
    <w:rsid w:val="009E470B"/>
    <w:rsid w:val="009E4CF0"/>
    <w:rsid w:val="009E6937"/>
    <w:rsid w:val="009E7B65"/>
    <w:rsid w:val="009E7BBF"/>
    <w:rsid w:val="009F077B"/>
    <w:rsid w:val="009F0AE3"/>
    <w:rsid w:val="009F1573"/>
    <w:rsid w:val="009F4F44"/>
    <w:rsid w:val="009F63C5"/>
    <w:rsid w:val="00A016EA"/>
    <w:rsid w:val="00A01F2A"/>
    <w:rsid w:val="00A02266"/>
    <w:rsid w:val="00A03F96"/>
    <w:rsid w:val="00A07089"/>
    <w:rsid w:val="00A10ACD"/>
    <w:rsid w:val="00A15B02"/>
    <w:rsid w:val="00A16D14"/>
    <w:rsid w:val="00A16F8A"/>
    <w:rsid w:val="00A17AA1"/>
    <w:rsid w:val="00A21BA5"/>
    <w:rsid w:val="00A2317F"/>
    <w:rsid w:val="00A24FC2"/>
    <w:rsid w:val="00A25C42"/>
    <w:rsid w:val="00A30B31"/>
    <w:rsid w:val="00A312E6"/>
    <w:rsid w:val="00A34754"/>
    <w:rsid w:val="00A40891"/>
    <w:rsid w:val="00A40A3F"/>
    <w:rsid w:val="00A419BD"/>
    <w:rsid w:val="00A43EBA"/>
    <w:rsid w:val="00A54888"/>
    <w:rsid w:val="00A56F7E"/>
    <w:rsid w:val="00A637C7"/>
    <w:rsid w:val="00A66E77"/>
    <w:rsid w:val="00A67106"/>
    <w:rsid w:val="00A71322"/>
    <w:rsid w:val="00A71395"/>
    <w:rsid w:val="00A71487"/>
    <w:rsid w:val="00A742EE"/>
    <w:rsid w:val="00A8082C"/>
    <w:rsid w:val="00A8100E"/>
    <w:rsid w:val="00A84439"/>
    <w:rsid w:val="00A8769E"/>
    <w:rsid w:val="00A90151"/>
    <w:rsid w:val="00A911FE"/>
    <w:rsid w:val="00A91615"/>
    <w:rsid w:val="00A9299F"/>
    <w:rsid w:val="00A95AE3"/>
    <w:rsid w:val="00A95BD9"/>
    <w:rsid w:val="00A972F5"/>
    <w:rsid w:val="00AA1CB5"/>
    <w:rsid w:val="00AA41E7"/>
    <w:rsid w:val="00AA459E"/>
    <w:rsid w:val="00AA4A3B"/>
    <w:rsid w:val="00AA5602"/>
    <w:rsid w:val="00AB0DA1"/>
    <w:rsid w:val="00AB2926"/>
    <w:rsid w:val="00AB58A6"/>
    <w:rsid w:val="00AB7114"/>
    <w:rsid w:val="00AC0985"/>
    <w:rsid w:val="00AC0DB7"/>
    <w:rsid w:val="00AC1890"/>
    <w:rsid w:val="00AC2C1C"/>
    <w:rsid w:val="00AC3FF8"/>
    <w:rsid w:val="00AD09E9"/>
    <w:rsid w:val="00AD4E46"/>
    <w:rsid w:val="00AD6ECB"/>
    <w:rsid w:val="00AE0AE8"/>
    <w:rsid w:val="00AE10E4"/>
    <w:rsid w:val="00AE26BA"/>
    <w:rsid w:val="00AE296E"/>
    <w:rsid w:val="00AE3AE6"/>
    <w:rsid w:val="00AE6A2E"/>
    <w:rsid w:val="00AF1D33"/>
    <w:rsid w:val="00AF357D"/>
    <w:rsid w:val="00AF40FC"/>
    <w:rsid w:val="00AF6A59"/>
    <w:rsid w:val="00B013B8"/>
    <w:rsid w:val="00B06C61"/>
    <w:rsid w:val="00B07C82"/>
    <w:rsid w:val="00B10F27"/>
    <w:rsid w:val="00B13F10"/>
    <w:rsid w:val="00B21740"/>
    <w:rsid w:val="00B24866"/>
    <w:rsid w:val="00B27FCD"/>
    <w:rsid w:val="00B30718"/>
    <w:rsid w:val="00B31404"/>
    <w:rsid w:val="00B3219B"/>
    <w:rsid w:val="00B340AE"/>
    <w:rsid w:val="00B36E4A"/>
    <w:rsid w:val="00B36EBE"/>
    <w:rsid w:val="00B371AB"/>
    <w:rsid w:val="00B42510"/>
    <w:rsid w:val="00B4348A"/>
    <w:rsid w:val="00B45314"/>
    <w:rsid w:val="00B51A2B"/>
    <w:rsid w:val="00B5271A"/>
    <w:rsid w:val="00B54042"/>
    <w:rsid w:val="00B540BE"/>
    <w:rsid w:val="00B552A5"/>
    <w:rsid w:val="00B55308"/>
    <w:rsid w:val="00B55721"/>
    <w:rsid w:val="00B5597C"/>
    <w:rsid w:val="00B55BCA"/>
    <w:rsid w:val="00B56EDC"/>
    <w:rsid w:val="00B60380"/>
    <w:rsid w:val="00B610FB"/>
    <w:rsid w:val="00B6352F"/>
    <w:rsid w:val="00B65C8A"/>
    <w:rsid w:val="00B67B73"/>
    <w:rsid w:val="00B67EEC"/>
    <w:rsid w:val="00B701CB"/>
    <w:rsid w:val="00B709C8"/>
    <w:rsid w:val="00B740C3"/>
    <w:rsid w:val="00B7633F"/>
    <w:rsid w:val="00B81A10"/>
    <w:rsid w:val="00B81E5C"/>
    <w:rsid w:val="00B82E7A"/>
    <w:rsid w:val="00B862F6"/>
    <w:rsid w:val="00B8653E"/>
    <w:rsid w:val="00B90B30"/>
    <w:rsid w:val="00B91EC4"/>
    <w:rsid w:val="00B94985"/>
    <w:rsid w:val="00B967B4"/>
    <w:rsid w:val="00BA64DF"/>
    <w:rsid w:val="00BA659D"/>
    <w:rsid w:val="00BB00F0"/>
    <w:rsid w:val="00BB036F"/>
    <w:rsid w:val="00BB1196"/>
    <w:rsid w:val="00BB1D17"/>
    <w:rsid w:val="00BB330A"/>
    <w:rsid w:val="00BB5B97"/>
    <w:rsid w:val="00BB7AF4"/>
    <w:rsid w:val="00BC1C89"/>
    <w:rsid w:val="00BD39CE"/>
    <w:rsid w:val="00BD5F30"/>
    <w:rsid w:val="00BD5FF1"/>
    <w:rsid w:val="00BE1A8A"/>
    <w:rsid w:val="00BE2DDF"/>
    <w:rsid w:val="00BE3D27"/>
    <w:rsid w:val="00BE4FDA"/>
    <w:rsid w:val="00BE5215"/>
    <w:rsid w:val="00BE794F"/>
    <w:rsid w:val="00BF4071"/>
    <w:rsid w:val="00BF5B16"/>
    <w:rsid w:val="00C0069B"/>
    <w:rsid w:val="00C022A4"/>
    <w:rsid w:val="00C02CD2"/>
    <w:rsid w:val="00C04712"/>
    <w:rsid w:val="00C10C12"/>
    <w:rsid w:val="00C13E12"/>
    <w:rsid w:val="00C14F91"/>
    <w:rsid w:val="00C166CE"/>
    <w:rsid w:val="00C17FD0"/>
    <w:rsid w:val="00C210E9"/>
    <w:rsid w:val="00C22079"/>
    <w:rsid w:val="00C24415"/>
    <w:rsid w:val="00C26061"/>
    <w:rsid w:val="00C275F6"/>
    <w:rsid w:val="00C3055E"/>
    <w:rsid w:val="00C32EE2"/>
    <w:rsid w:val="00C330DD"/>
    <w:rsid w:val="00C3417B"/>
    <w:rsid w:val="00C35E0E"/>
    <w:rsid w:val="00C44E51"/>
    <w:rsid w:val="00C47213"/>
    <w:rsid w:val="00C531A1"/>
    <w:rsid w:val="00C5378B"/>
    <w:rsid w:val="00C54BD5"/>
    <w:rsid w:val="00C55791"/>
    <w:rsid w:val="00C56178"/>
    <w:rsid w:val="00C5795D"/>
    <w:rsid w:val="00C615AD"/>
    <w:rsid w:val="00C615BE"/>
    <w:rsid w:val="00C62411"/>
    <w:rsid w:val="00C62C56"/>
    <w:rsid w:val="00C62D20"/>
    <w:rsid w:val="00C64445"/>
    <w:rsid w:val="00C6627E"/>
    <w:rsid w:val="00C6777F"/>
    <w:rsid w:val="00C75834"/>
    <w:rsid w:val="00C81248"/>
    <w:rsid w:val="00C81AC5"/>
    <w:rsid w:val="00C8275A"/>
    <w:rsid w:val="00C8407A"/>
    <w:rsid w:val="00C85AE8"/>
    <w:rsid w:val="00C94416"/>
    <w:rsid w:val="00C944C3"/>
    <w:rsid w:val="00CA1FE7"/>
    <w:rsid w:val="00CA30A6"/>
    <w:rsid w:val="00CB23AD"/>
    <w:rsid w:val="00CB36B5"/>
    <w:rsid w:val="00CB5726"/>
    <w:rsid w:val="00CC0AF8"/>
    <w:rsid w:val="00CC1A8D"/>
    <w:rsid w:val="00CC456A"/>
    <w:rsid w:val="00CC51F2"/>
    <w:rsid w:val="00CD267F"/>
    <w:rsid w:val="00CD4414"/>
    <w:rsid w:val="00CD57AD"/>
    <w:rsid w:val="00CD5B77"/>
    <w:rsid w:val="00CD71F5"/>
    <w:rsid w:val="00CD778D"/>
    <w:rsid w:val="00CE2CE4"/>
    <w:rsid w:val="00CE31D7"/>
    <w:rsid w:val="00CE3200"/>
    <w:rsid w:val="00CE5195"/>
    <w:rsid w:val="00CE5244"/>
    <w:rsid w:val="00CE5251"/>
    <w:rsid w:val="00CE5416"/>
    <w:rsid w:val="00CE6595"/>
    <w:rsid w:val="00CE757D"/>
    <w:rsid w:val="00CF2264"/>
    <w:rsid w:val="00CF7028"/>
    <w:rsid w:val="00D026C6"/>
    <w:rsid w:val="00D04DB8"/>
    <w:rsid w:val="00D04F72"/>
    <w:rsid w:val="00D07004"/>
    <w:rsid w:val="00D12341"/>
    <w:rsid w:val="00D12F4C"/>
    <w:rsid w:val="00D152DD"/>
    <w:rsid w:val="00D2040B"/>
    <w:rsid w:val="00D30671"/>
    <w:rsid w:val="00D30A68"/>
    <w:rsid w:val="00D319CD"/>
    <w:rsid w:val="00D321A0"/>
    <w:rsid w:val="00D330A6"/>
    <w:rsid w:val="00D3328D"/>
    <w:rsid w:val="00D40C61"/>
    <w:rsid w:val="00D41658"/>
    <w:rsid w:val="00D4219A"/>
    <w:rsid w:val="00D427D5"/>
    <w:rsid w:val="00D43116"/>
    <w:rsid w:val="00D43813"/>
    <w:rsid w:val="00D45001"/>
    <w:rsid w:val="00D45644"/>
    <w:rsid w:val="00D47BA5"/>
    <w:rsid w:val="00D52ECE"/>
    <w:rsid w:val="00D56D05"/>
    <w:rsid w:val="00D574EB"/>
    <w:rsid w:val="00D617B3"/>
    <w:rsid w:val="00D61BC8"/>
    <w:rsid w:val="00D62DD6"/>
    <w:rsid w:val="00D63A3C"/>
    <w:rsid w:val="00D63F41"/>
    <w:rsid w:val="00D6506C"/>
    <w:rsid w:val="00D655FA"/>
    <w:rsid w:val="00D74B9D"/>
    <w:rsid w:val="00D752F3"/>
    <w:rsid w:val="00D82D70"/>
    <w:rsid w:val="00D8460D"/>
    <w:rsid w:val="00D908F6"/>
    <w:rsid w:val="00D90D81"/>
    <w:rsid w:val="00D91776"/>
    <w:rsid w:val="00D91A67"/>
    <w:rsid w:val="00D92F08"/>
    <w:rsid w:val="00D97F2C"/>
    <w:rsid w:val="00DA1C4D"/>
    <w:rsid w:val="00DA1F55"/>
    <w:rsid w:val="00DA490B"/>
    <w:rsid w:val="00DA50D5"/>
    <w:rsid w:val="00DA62AC"/>
    <w:rsid w:val="00DB2334"/>
    <w:rsid w:val="00DB2380"/>
    <w:rsid w:val="00DB2B50"/>
    <w:rsid w:val="00DB3154"/>
    <w:rsid w:val="00DB3348"/>
    <w:rsid w:val="00DB509E"/>
    <w:rsid w:val="00DB68DE"/>
    <w:rsid w:val="00DC0DAA"/>
    <w:rsid w:val="00DC22BC"/>
    <w:rsid w:val="00DC42F7"/>
    <w:rsid w:val="00DC68E8"/>
    <w:rsid w:val="00DD1BDB"/>
    <w:rsid w:val="00DD53DF"/>
    <w:rsid w:val="00DE054C"/>
    <w:rsid w:val="00DE23A1"/>
    <w:rsid w:val="00DE6457"/>
    <w:rsid w:val="00DE6E48"/>
    <w:rsid w:val="00DE779B"/>
    <w:rsid w:val="00DE791A"/>
    <w:rsid w:val="00DE7E5D"/>
    <w:rsid w:val="00DF04CB"/>
    <w:rsid w:val="00DF2A92"/>
    <w:rsid w:val="00DF2DA8"/>
    <w:rsid w:val="00DF3BD0"/>
    <w:rsid w:val="00DF3E1B"/>
    <w:rsid w:val="00DF3FB5"/>
    <w:rsid w:val="00DF4201"/>
    <w:rsid w:val="00DF6041"/>
    <w:rsid w:val="00DF69A4"/>
    <w:rsid w:val="00DF705F"/>
    <w:rsid w:val="00E00127"/>
    <w:rsid w:val="00E05D99"/>
    <w:rsid w:val="00E070A2"/>
    <w:rsid w:val="00E105C4"/>
    <w:rsid w:val="00E10A3F"/>
    <w:rsid w:val="00E10BA8"/>
    <w:rsid w:val="00E16F93"/>
    <w:rsid w:val="00E200FB"/>
    <w:rsid w:val="00E21B4A"/>
    <w:rsid w:val="00E23318"/>
    <w:rsid w:val="00E25D87"/>
    <w:rsid w:val="00E2649F"/>
    <w:rsid w:val="00E27FAD"/>
    <w:rsid w:val="00E3337A"/>
    <w:rsid w:val="00E34AAA"/>
    <w:rsid w:val="00E35A99"/>
    <w:rsid w:val="00E40B44"/>
    <w:rsid w:val="00E433A3"/>
    <w:rsid w:val="00E4696A"/>
    <w:rsid w:val="00E47BE0"/>
    <w:rsid w:val="00E55A19"/>
    <w:rsid w:val="00E56688"/>
    <w:rsid w:val="00E56D50"/>
    <w:rsid w:val="00E63AFB"/>
    <w:rsid w:val="00E6407D"/>
    <w:rsid w:val="00E6512B"/>
    <w:rsid w:val="00E6574E"/>
    <w:rsid w:val="00E65D9D"/>
    <w:rsid w:val="00E71358"/>
    <w:rsid w:val="00E720D9"/>
    <w:rsid w:val="00E7270A"/>
    <w:rsid w:val="00E73ACD"/>
    <w:rsid w:val="00E74A7F"/>
    <w:rsid w:val="00E7566B"/>
    <w:rsid w:val="00E76917"/>
    <w:rsid w:val="00E76AED"/>
    <w:rsid w:val="00E84818"/>
    <w:rsid w:val="00E86052"/>
    <w:rsid w:val="00E873EF"/>
    <w:rsid w:val="00E90745"/>
    <w:rsid w:val="00E94051"/>
    <w:rsid w:val="00E96ADD"/>
    <w:rsid w:val="00E97237"/>
    <w:rsid w:val="00EA7001"/>
    <w:rsid w:val="00EA7B17"/>
    <w:rsid w:val="00EB079F"/>
    <w:rsid w:val="00EB0EE6"/>
    <w:rsid w:val="00EB588E"/>
    <w:rsid w:val="00EB7572"/>
    <w:rsid w:val="00EC2E7C"/>
    <w:rsid w:val="00EC2F5F"/>
    <w:rsid w:val="00EC2FD2"/>
    <w:rsid w:val="00EC3E37"/>
    <w:rsid w:val="00EC66DE"/>
    <w:rsid w:val="00EC78A5"/>
    <w:rsid w:val="00ED79B6"/>
    <w:rsid w:val="00EE14AF"/>
    <w:rsid w:val="00EE175F"/>
    <w:rsid w:val="00EF13C4"/>
    <w:rsid w:val="00EF2AC7"/>
    <w:rsid w:val="00EF7B90"/>
    <w:rsid w:val="00F01744"/>
    <w:rsid w:val="00F01DFC"/>
    <w:rsid w:val="00F0229E"/>
    <w:rsid w:val="00F025F0"/>
    <w:rsid w:val="00F10436"/>
    <w:rsid w:val="00F121BE"/>
    <w:rsid w:val="00F14FDE"/>
    <w:rsid w:val="00F16431"/>
    <w:rsid w:val="00F203C2"/>
    <w:rsid w:val="00F2323A"/>
    <w:rsid w:val="00F242CA"/>
    <w:rsid w:val="00F249B1"/>
    <w:rsid w:val="00F26827"/>
    <w:rsid w:val="00F27AE4"/>
    <w:rsid w:val="00F31C6E"/>
    <w:rsid w:val="00F3288B"/>
    <w:rsid w:val="00F32CB4"/>
    <w:rsid w:val="00F3663A"/>
    <w:rsid w:val="00F37DBB"/>
    <w:rsid w:val="00F41395"/>
    <w:rsid w:val="00F41737"/>
    <w:rsid w:val="00F42A53"/>
    <w:rsid w:val="00F46D10"/>
    <w:rsid w:val="00F4711F"/>
    <w:rsid w:val="00F506D8"/>
    <w:rsid w:val="00F5185B"/>
    <w:rsid w:val="00F522CD"/>
    <w:rsid w:val="00F52B20"/>
    <w:rsid w:val="00F547AE"/>
    <w:rsid w:val="00F54E67"/>
    <w:rsid w:val="00F55061"/>
    <w:rsid w:val="00F55ABC"/>
    <w:rsid w:val="00F56A8C"/>
    <w:rsid w:val="00F6002B"/>
    <w:rsid w:val="00F60963"/>
    <w:rsid w:val="00F646C5"/>
    <w:rsid w:val="00F64B79"/>
    <w:rsid w:val="00F64BF2"/>
    <w:rsid w:val="00F66E00"/>
    <w:rsid w:val="00F6770D"/>
    <w:rsid w:val="00F67D79"/>
    <w:rsid w:val="00F67EED"/>
    <w:rsid w:val="00F67F3A"/>
    <w:rsid w:val="00F67F57"/>
    <w:rsid w:val="00F70526"/>
    <w:rsid w:val="00F76CC5"/>
    <w:rsid w:val="00F85121"/>
    <w:rsid w:val="00F9140D"/>
    <w:rsid w:val="00F92D56"/>
    <w:rsid w:val="00F93CD6"/>
    <w:rsid w:val="00F94470"/>
    <w:rsid w:val="00F957E4"/>
    <w:rsid w:val="00F97C0C"/>
    <w:rsid w:val="00FA2042"/>
    <w:rsid w:val="00FA7B2D"/>
    <w:rsid w:val="00FB4A58"/>
    <w:rsid w:val="00FB524A"/>
    <w:rsid w:val="00FB560E"/>
    <w:rsid w:val="00FB56EE"/>
    <w:rsid w:val="00FB5D97"/>
    <w:rsid w:val="00FB644E"/>
    <w:rsid w:val="00FB747A"/>
    <w:rsid w:val="00FC0C52"/>
    <w:rsid w:val="00FC141D"/>
    <w:rsid w:val="00FC1A0F"/>
    <w:rsid w:val="00FC1B2D"/>
    <w:rsid w:val="00FC3032"/>
    <w:rsid w:val="00FC4DBA"/>
    <w:rsid w:val="00FC6ECF"/>
    <w:rsid w:val="00FD1AE5"/>
    <w:rsid w:val="00FD2632"/>
    <w:rsid w:val="00FD3141"/>
    <w:rsid w:val="00FD60DA"/>
    <w:rsid w:val="00FD6C7A"/>
    <w:rsid w:val="00FD6FC4"/>
    <w:rsid w:val="00FE0740"/>
    <w:rsid w:val="00FE07F2"/>
    <w:rsid w:val="00FE148C"/>
    <w:rsid w:val="00FE1A5E"/>
    <w:rsid w:val="00FE40D7"/>
    <w:rsid w:val="00FE452A"/>
    <w:rsid w:val="00FE7CA8"/>
    <w:rsid w:val="00FF02A9"/>
    <w:rsid w:val="00FF2C5D"/>
    <w:rsid w:val="00FF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90B3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B90B3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B90B3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B90B30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linkedin.com/company/zwiazek-polskiego-leasingu-zpl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easing.org.p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twitter.com/ZwiazekLeasing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8</Pages>
  <Words>1450</Words>
  <Characters>8700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187</cp:revision>
  <cp:lastPrinted>2026-10-22T13:40:00Z</cp:lastPrinted>
  <dcterms:created xsi:type="dcterms:W3CDTF">2026-07-21T14:24:00Z</dcterms:created>
  <dcterms:modified xsi:type="dcterms:W3CDTF">2026-10-25T21:04:00Z</dcterms:modified>
</cp:coreProperties>
</file>