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43181" w14:textId="001EFB4F" w:rsidR="005E6FF1" w:rsidRPr="00AD4E46" w:rsidRDefault="00133576" w:rsidP="00EA7001">
      <w:pPr>
        <w:pStyle w:val="Tekstpodstawowy"/>
        <w:spacing w:line="360" w:lineRule="auto"/>
        <w:jc w:val="both"/>
        <w:rPr>
          <w:rFonts w:cstheme="minorHAnsi"/>
          <w:sz w:val="24"/>
          <w:szCs w:val="24"/>
        </w:rPr>
      </w:pPr>
      <w:r>
        <w:rPr>
          <w:rFonts w:cstheme="minorHAnsi"/>
          <w:sz w:val="24"/>
          <w:szCs w:val="24"/>
        </w:rPr>
        <w:t>Informacja prasowa</w:t>
      </w:r>
    </w:p>
    <w:p w14:paraId="43E23C01" w14:textId="77777777" w:rsidR="001A66EF" w:rsidRPr="001A66EF" w:rsidRDefault="001A66EF" w:rsidP="001A66EF">
      <w:pPr>
        <w:spacing w:line="360" w:lineRule="auto"/>
        <w:jc w:val="both"/>
        <w:rPr>
          <w:rFonts w:cstheme="minorHAnsi"/>
          <w:b/>
          <w:bCs/>
          <w:color w:val="0070C0"/>
          <w:sz w:val="32"/>
          <w:szCs w:val="32"/>
        </w:rPr>
      </w:pPr>
      <w:r>
        <w:rPr>
          <w:rFonts w:cstheme="minorHAnsi"/>
          <w:b/>
          <w:bCs/>
          <w:color w:val="0070C0"/>
          <w:sz w:val="32"/>
          <w:szCs w:val="32"/>
        </w:rPr>
        <w:t>Leasing napędza ubezpieczenia – ponad 10 mld zł składek</w:t>
      </w:r>
    </w:p>
    <w:p w14:paraId="5111C6FF" w14:textId="77777777" w:rsidR="00F5509C" w:rsidRDefault="00F5509C">
      <w:pPr>
        <w:spacing w:line="360" w:lineRule="auto"/>
        <w:jc w:val="both"/>
        <w:rPr>
          <w:rFonts w:cstheme="minorHAnsi"/>
          <w:sz w:val="32"/>
          <w:szCs w:val="32"/>
        </w:rPr>
      </w:pPr>
    </w:p>
    <w:p w14:paraId="320BF749" w14:textId="1FC8481E" w:rsidR="00F5509C" w:rsidRDefault="0015356D">
      <w:pPr>
        <w:pStyle w:val="Akapitzlist"/>
        <w:numPr>
          <w:ilvl w:val="0"/>
          <w:numId w:val="1"/>
        </w:numPr>
        <w:spacing w:line="360" w:lineRule="auto"/>
        <w:jc w:val="both"/>
        <w:rPr>
          <w:rFonts w:cstheme="minorHAnsi"/>
          <w:b/>
          <w:bCs/>
          <w:sz w:val="28"/>
          <w:szCs w:val="28"/>
        </w:rPr>
      </w:pPr>
      <w:r>
        <w:rPr>
          <w:rFonts w:cstheme="minorHAnsi"/>
          <w:b/>
          <w:bCs/>
          <w:sz w:val="28"/>
          <w:szCs w:val="28"/>
        </w:rPr>
        <w:t>Firmy leasingowe przekazały ubezpieczycielom w 2025 r. 10,2 mld zł składek z tytułu ubezpieczenia przedmiotów leasingu – o 31 proc. więcej niż rok wcześniej – wynika z szacunków ZPL</w:t>
      </w:r>
    </w:p>
    <w:p w14:paraId="101A6C69" w14:textId="61837113" w:rsidR="00F5509C" w:rsidRDefault="00BA760D">
      <w:pPr>
        <w:pStyle w:val="Akapitzlist"/>
        <w:numPr>
          <w:ilvl w:val="0"/>
          <w:numId w:val="1"/>
        </w:numPr>
        <w:spacing w:line="360" w:lineRule="auto"/>
        <w:jc w:val="both"/>
        <w:rPr>
          <w:rFonts w:cstheme="minorHAnsi"/>
          <w:b/>
          <w:bCs/>
          <w:sz w:val="28"/>
          <w:szCs w:val="28"/>
        </w:rPr>
      </w:pPr>
      <w:r>
        <w:rPr>
          <w:rFonts w:cstheme="minorHAnsi"/>
          <w:b/>
          <w:bCs/>
          <w:sz w:val="28"/>
          <w:szCs w:val="28"/>
        </w:rPr>
        <w:t>W I półroczu 2026 r. było to 5,2 mld zł (+20 proc. r/r), z czego 85 proc. dotyczyło ubezpieczeń komunikacyjnych</w:t>
      </w:r>
    </w:p>
    <w:p w14:paraId="60BDB728" w14:textId="6A4C9FE0" w:rsidR="00F5509C" w:rsidRDefault="00BA760D">
      <w:pPr>
        <w:pStyle w:val="Akapitzlist"/>
        <w:numPr>
          <w:ilvl w:val="0"/>
          <w:numId w:val="1"/>
        </w:numPr>
        <w:spacing w:line="360" w:lineRule="auto"/>
        <w:jc w:val="both"/>
        <w:rPr>
          <w:rFonts w:cstheme="minorHAnsi"/>
          <w:b/>
          <w:bCs/>
          <w:sz w:val="28"/>
          <w:szCs w:val="28"/>
        </w:rPr>
      </w:pPr>
      <w:r>
        <w:rPr>
          <w:rFonts w:cstheme="minorHAnsi"/>
          <w:b/>
          <w:bCs/>
          <w:sz w:val="28"/>
          <w:szCs w:val="28"/>
        </w:rPr>
        <w:t>Z badania jakościowego ZPL wynika, że przedsiębiorcy cenią wygodę ubezpieczenia u leasingodawcy, ale gdy różnica w cenie przekroczy ich własny limit, szukają tańszej oferty</w:t>
      </w:r>
    </w:p>
    <w:p w14:paraId="69287084" w14:textId="40CBECEA" w:rsidR="00F5509C" w:rsidRDefault="00BA760D">
      <w:pPr>
        <w:pStyle w:val="Akapitzlist"/>
        <w:numPr>
          <w:ilvl w:val="0"/>
          <w:numId w:val="1"/>
        </w:numPr>
        <w:spacing w:line="360" w:lineRule="auto"/>
        <w:jc w:val="both"/>
        <w:rPr>
          <w:rFonts w:cstheme="minorHAnsi"/>
          <w:b/>
          <w:bCs/>
          <w:sz w:val="28"/>
          <w:szCs w:val="28"/>
        </w:rPr>
      </w:pPr>
      <w:r>
        <w:rPr>
          <w:rFonts w:cstheme="minorHAnsi"/>
          <w:b/>
          <w:bCs/>
          <w:sz w:val="28"/>
          <w:szCs w:val="28"/>
        </w:rPr>
        <w:t>Badani chcą poznać koszt ubezpieczenia już na początku rozmów o leasingu – na jednej stronie, z kwotami netto i brutto – i wolą żywego doradcę od chatbota</w:t>
      </w:r>
    </w:p>
    <w:p w14:paraId="4F7162E0" w14:textId="77777777" w:rsidR="00F5509C" w:rsidRDefault="00F5509C">
      <w:pPr>
        <w:spacing w:line="360" w:lineRule="auto"/>
        <w:jc w:val="both"/>
        <w:rPr>
          <w:rFonts w:cstheme="minorHAnsi"/>
          <w:sz w:val="32"/>
          <w:szCs w:val="32"/>
        </w:rPr>
      </w:pPr>
    </w:p>
    <w:p w14:paraId="4BEB0CEE" w14:textId="71A32FD2" w:rsidR="00F5509C" w:rsidRDefault="00BA760D">
      <w:pPr>
        <w:spacing w:line="360" w:lineRule="auto"/>
        <w:jc w:val="both"/>
        <w:rPr>
          <w:rFonts w:cstheme="minorHAnsi"/>
          <w:sz w:val="22"/>
          <w:szCs w:val="22"/>
        </w:rPr>
      </w:pPr>
      <w:r>
        <w:rPr>
          <w:rFonts w:cstheme="minorHAnsi"/>
          <w:b/>
          <w:bCs/>
          <w:sz w:val="22"/>
          <w:szCs w:val="22"/>
        </w:rPr>
        <w:t>Warszawa, 29 października 2026 r.</w:t>
      </w:r>
      <w:r>
        <w:rPr>
          <w:rFonts w:cstheme="minorHAnsi"/>
          <w:sz w:val="22"/>
          <w:szCs w:val="22"/>
        </w:rPr>
        <w:t xml:space="preserve"> – Firmy leasingowe są jednym z najważniejszych partnerów ubezpieczycieli w Polsce. Według szacunków Związku Polskiego Leasingu w 2025 r. przekazały im 10,25 mld zł składek z tytułu ubezpieczenia przedmiotów leasingu, wobec 7,80 mld zł rok wcześniej. Szacunki zaprezentowano podczas konferencji Leasing i Ubezpieczenia 2026, razem z wynikami badania jakościowego ZPL, w którym przedsiębiorcy opowiedzieli, jak wybierają ubezpieczenie dla leasingowanych pojazdów i maszyn.</w:t>
      </w:r>
    </w:p>
    <w:p w14:paraId="62A7B5E6" w14:textId="57AE042A" w:rsidR="00773180" w:rsidRDefault="00773180">
      <w:pPr>
        <w:spacing w:line="360" w:lineRule="auto"/>
        <w:jc w:val="both"/>
        <w:rPr>
          <w:rFonts w:cstheme="minorHAnsi"/>
          <w:sz w:val="22"/>
          <w:szCs w:val="22"/>
        </w:rPr>
      </w:pPr>
      <w:r>
        <w:rPr>
          <w:rFonts w:cstheme="minorHAnsi"/>
          <w:noProof/>
          <w:sz w:val="22"/>
          <w:szCs w:val="22"/>
        </w:rPr>
        <w:lastRenderedPageBreak/>
        <w:drawing>
          <wp:inline distT="0" distB="0" distL="0" distR="0" wp14:anchorId="49E2B1F9" wp14:editId="71C8C467">
            <wp:extent cx="5759450" cy="2692400"/>
            <wp:effectExtent l="0" t="0" r="0" b="0"/>
            <wp:docPr id="181396045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60456" name="Obraz 1813960456"/>
                    <pic:cNvPicPr/>
                  </pic:nvPicPr>
                  <pic:blipFill>
                    <a:blip r:embed="rId8">
                      <a:extLst>
                        <a:ext uri="{28A0092B-C50C-407E-A947-70E740481C1C}">
                          <a14:useLocalDpi xmlns:a14="http://schemas.microsoft.com/office/drawing/2010/main" val="0"/>
                        </a:ext>
                      </a:extLst>
                    </a:blip>
                    <a:stretch>
                      <a:fillRect/>
                    </a:stretch>
                  </pic:blipFill>
                  <pic:spPr>
                    <a:xfrm>
                      <a:off x="0" y="0"/>
                      <a:ext cx="5759450" cy="2692400"/>
                    </a:xfrm>
                    <a:prstGeom prst="rect">
                      <a:avLst/>
                    </a:prstGeom>
                  </pic:spPr>
                </pic:pic>
              </a:graphicData>
            </a:graphic>
          </wp:inline>
        </w:drawing>
      </w:r>
    </w:p>
    <w:p w14:paraId="1F988D17" w14:textId="77777777" w:rsidR="00F5635C" w:rsidRDefault="00F5635C">
      <w:pPr>
        <w:spacing w:line="360" w:lineRule="auto"/>
        <w:jc w:val="both"/>
        <w:rPr>
          <w:rFonts w:cstheme="minorHAnsi"/>
          <w:sz w:val="22"/>
          <w:szCs w:val="22"/>
        </w:rPr>
      </w:pPr>
    </w:p>
    <w:p w14:paraId="4992DACC" w14:textId="77777777" w:rsidR="00F5509C" w:rsidRDefault="00BA760D">
      <w:pPr>
        <w:keepNext/>
        <w:spacing w:line="360" w:lineRule="auto"/>
        <w:jc w:val="both"/>
        <w:rPr>
          <w:rFonts w:cstheme="minorHAnsi"/>
          <w:b/>
          <w:bCs/>
          <w:color w:val="0070C0"/>
        </w:rPr>
      </w:pPr>
      <w:r>
        <w:rPr>
          <w:rFonts w:cstheme="minorHAnsi"/>
          <w:b/>
          <w:bCs/>
          <w:color w:val="0070C0"/>
        </w:rPr>
        <w:t>Ponad 10 mld zł składek rocznie</w:t>
      </w:r>
    </w:p>
    <w:p w14:paraId="21E09290" w14:textId="77777777" w:rsidR="00F5509C" w:rsidRDefault="00BA760D">
      <w:pPr>
        <w:spacing w:line="360" w:lineRule="auto"/>
        <w:jc w:val="both"/>
        <w:rPr>
          <w:rFonts w:cstheme="minorHAnsi"/>
          <w:sz w:val="22"/>
          <w:szCs w:val="22"/>
        </w:rPr>
      </w:pPr>
      <w:r>
        <w:rPr>
          <w:rFonts w:cstheme="minorHAnsi"/>
          <w:sz w:val="22"/>
          <w:szCs w:val="22"/>
        </w:rPr>
        <w:t>W I półroczu 2026 r. firmy leasingowe przekazały ubezpieczycielom 5,21 mld zł składek, o 20,4 proc. więcej niż w analogicznym okresie 2025 r. Najszybciej rosną ubezpieczenia komunikacyjne: 8,61 mld zł w 2025 r. (+33,3 proc. r/r) i 4,43 mld zł w I półroczu 2026 r. (+25,0 proc.). Odpowiadają one za 84–85 proc. wszystkich składek. Ubezpieczenia mienia przyniosły w 2025 r. 0,77 mld zł (+20,9 proc.), a pozostałe produkty 0,87 mld zł (+22,4 proc.).</w:t>
      </w:r>
    </w:p>
    <w:p w14:paraId="3F63589B" w14:textId="77777777" w:rsidR="00F5509C" w:rsidRDefault="00BA760D">
      <w:pPr>
        <w:spacing w:line="360" w:lineRule="auto"/>
        <w:jc w:val="both"/>
        <w:rPr>
          <w:rFonts w:cstheme="minorHAnsi"/>
          <w:sz w:val="22"/>
          <w:szCs w:val="22"/>
        </w:rPr>
      </w:pPr>
      <w:r>
        <w:rPr>
          <w:rFonts w:cstheme="minorHAnsi"/>
          <w:sz w:val="22"/>
          <w:szCs w:val="22"/>
        </w:rPr>
        <w:t>Ubezpieczenia z oferty leasingodawców odpowiadały w 2025 r. za 59 proc. składek wobec 57 proc. rok wcześniej. Ich wartość wzrosła o 36,9 proc., a ubezpieczeń zawieranych przez klientów we własnym zakresie – o 24,1 proc. Mimo to ponad 4 na 10 złotych składki wciąż pochodzą z polis, które klienci zawierają sami: u swojego agenta, brokera lub w salonie. W ubezpieczeniach komunikacyjnych ich udział sięga 45–46 proc.</w:t>
      </w:r>
    </w:p>
    <w:p w14:paraId="36CAC7EF" w14:textId="77777777" w:rsidR="00F5635C" w:rsidRDefault="00F5635C">
      <w:pPr>
        <w:spacing w:line="360" w:lineRule="auto"/>
        <w:jc w:val="both"/>
        <w:rPr>
          <w:rFonts w:cstheme="minorHAnsi"/>
          <w:sz w:val="22"/>
          <w:szCs w:val="22"/>
        </w:rPr>
      </w:pPr>
    </w:p>
    <w:p w14:paraId="5AD8D4A4" w14:textId="5661A680" w:rsidR="00F5635C" w:rsidRDefault="00F5635C">
      <w:pPr>
        <w:spacing w:line="360" w:lineRule="auto"/>
        <w:jc w:val="both"/>
        <w:rPr>
          <w:rFonts w:cstheme="minorHAnsi"/>
          <w:sz w:val="22"/>
          <w:szCs w:val="22"/>
        </w:rPr>
      </w:pPr>
      <w:r>
        <w:rPr>
          <w:rFonts w:cstheme="minorHAnsi"/>
          <w:i/>
          <w:iCs/>
          <w:sz w:val="22"/>
          <w:szCs w:val="22"/>
        </w:rPr>
        <w:t xml:space="preserve">- Każdy przedmiot leasingu musi być ubezpieczony, dlatego firmy leasingowe są jednym z najważniejszych partnerów ubezpieczycieli – tylko w 2025 r. przekazaliśmy im ponad 10 mld zł składek. Przedsiębiorcy nie oczekują jednak skomplikowanych produktów, tylko jasnej informacji od pierwszej kalkulacji: ile wynosi rata, ile składka i co dokładnie obejmuje ochrona. Wygoda leasingu i ubezpieczenia </w:t>
      </w:r>
      <w:r>
        <w:rPr>
          <w:rFonts w:cstheme="minorHAnsi"/>
          <w:i/>
          <w:iCs/>
          <w:sz w:val="22"/>
          <w:szCs w:val="22"/>
        </w:rPr>
        <w:lastRenderedPageBreak/>
        <w:t xml:space="preserve">w jednym miejscu jest dla nich realną wartością, ale tylko wtedy, gdy idzie w parze z rynkową ceną i przejrzystością </w:t>
      </w:r>
      <w:r>
        <w:rPr>
          <w:rFonts w:cstheme="minorHAnsi"/>
          <w:sz w:val="22"/>
          <w:szCs w:val="22"/>
        </w:rPr>
        <w:t xml:space="preserve"> – mówi </w:t>
      </w:r>
      <w:r>
        <w:rPr>
          <w:rFonts w:cstheme="minorHAnsi"/>
          <w:b/>
          <w:bCs/>
          <w:sz w:val="22"/>
          <w:szCs w:val="22"/>
        </w:rPr>
        <w:t>Monika Constant</w:t>
      </w:r>
      <w:r>
        <w:rPr>
          <w:rFonts w:cstheme="minorHAnsi"/>
          <w:sz w:val="22"/>
          <w:szCs w:val="22"/>
        </w:rPr>
        <w:t>, prezeska Związku Polskiego Leasingu.</w:t>
      </w:r>
    </w:p>
    <w:p w14:paraId="614B1849" w14:textId="7DE23D9C" w:rsidR="00F5509C" w:rsidRDefault="000F55E6">
      <w:pPr>
        <w:spacing w:line="360" w:lineRule="auto"/>
        <w:jc w:val="both"/>
        <w:rPr>
          <w:rFonts w:cstheme="minorHAnsi"/>
          <w:sz w:val="22"/>
          <w:szCs w:val="22"/>
        </w:rPr>
      </w:pPr>
      <w:r>
        <w:rPr>
          <w:rFonts w:cstheme="minorHAnsi"/>
          <w:noProof/>
          <w:sz w:val="22"/>
          <w:szCs w:val="22"/>
        </w:rPr>
        <w:drawing>
          <wp:inline distT="0" distB="0" distL="0" distR="0" wp14:anchorId="6B6273D8" wp14:editId="33161B20">
            <wp:extent cx="5759450" cy="2692400"/>
            <wp:effectExtent l="0" t="0" r="0" b="0"/>
            <wp:docPr id="45249087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90877" name="Obraz 452490877"/>
                    <pic:cNvPicPr/>
                  </pic:nvPicPr>
                  <pic:blipFill>
                    <a:blip r:embed="rId9">
                      <a:extLst>
                        <a:ext uri="{28A0092B-C50C-407E-A947-70E740481C1C}">
                          <a14:useLocalDpi xmlns:a14="http://schemas.microsoft.com/office/drawing/2010/main" val="0"/>
                        </a:ext>
                      </a:extLst>
                    </a:blip>
                    <a:stretch>
                      <a:fillRect/>
                    </a:stretch>
                  </pic:blipFill>
                  <pic:spPr>
                    <a:xfrm>
                      <a:off x="0" y="0"/>
                      <a:ext cx="5759450" cy="2692400"/>
                    </a:xfrm>
                    <a:prstGeom prst="rect">
                      <a:avLst/>
                    </a:prstGeom>
                  </pic:spPr>
                </pic:pic>
              </a:graphicData>
            </a:graphic>
          </wp:inline>
        </w:drawing>
      </w:r>
    </w:p>
    <w:p w14:paraId="1AF1B770" w14:textId="3E23A99D" w:rsidR="00F5509C" w:rsidRDefault="00F5509C">
      <w:pPr>
        <w:spacing w:line="360" w:lineRule="auto"/>
        <w:jc w:val="both"/>
        <w:rPr>
          <w:rFonts w:cstheme="minorHAnsi"/>
          <w:sz w:val="22"/>
          <w:szCs w:val="22"/>
        </w:rPr>
      </w:pPr>
    </w:p>
    <w:p w14:paraId="46170D31" w14:textId="77777777" w:rsidR="00F5509C" w:rsidRDefault="00BA760D">
      <w:pPr>
        <w:keepNext/>
        <w:spacing w:line="360" w:lineRule="auto"/>
        <w:jc w:val="both"/>
        <w:rPr>
          <w:rFonts w:cstheme="minorHAnsi"/>
          <w:b/>
          <w:bCs/>
          <w:color w:val="0070C0"/>
        </w:rPr>
      </w:pPr>
      <w:r>
        <w:rPr>
          <w:rFonts w:cstheme="minorHAnsi"/>
          <w:b/>
          <w:bCs/>
          <w:color w:val="0070C0"/>
        </w:rPr>
        <w:t>Ubezpieczenie jako „higiena”</w:t>
      </w:r>
    </w:p>
    <w:p w14:paraId="7D61F1E8" w14:textId="77777777" w:rsidR="00F5509C" w:rsidRDefault="00BA760D">
      <w:pPr>
        <w:spacing w:line="360" w:lineRule="auto"/>
        <w:jc w:val="both"/>
        <w:rPr>
          <w:rFonts w:cstheme="minorHAnsi"/>
          <w:sz w:val="22"/>
          <w:szCs w:val="22"/>
        </w:rPr>
      </w:pPr>
      <w:r>
        <w:rPr>
          <w:rFonts w:cstheme="minorHAnsi"/>
          <w:sz w:val="22"/>
          <w:szCs w:val="22"/>
        </w:rPr>
        <w:t>Jak przedsiębiorcy wybierają ubezpieczenie przedmiotu leasingu i czego oczekują od leasingodawców, sprawdziło badanie jakościowe ZPL „Opinie przedsiębiorców na temat ubezpieczania przedmiotu leasingu/pożyczki w Polsce”. W 41 wywiadach pogłębionych przedsiębiorcy opowiedzieli, jak wybierają ochronę dla finansowanych pojazdów i maszyn. Dla większości z nich ubezpieczenie to warunek konieczny, który chcą załatwić sprawnie i zapomnieć o nim do odnowienia lub szkody.</w:t>
      </w:r>
    </w:p>
    <w:p w14:paraId="318A3AB5" w14:textId="77777777" w:rsidR="00F5509C" w:rsidRDefault="00BA760D">
      <w:pPr>
        <w:spacing w:line="360" w:lineRule="auto"/>
        <w:jc w:val="both"/>
        <w:rPr>
          <w:rFonts w:cstheme="minorHAnsi"/>
          <w:sz w:val="22"/>
          <w:szCs w:val="22"/>
        </w:rPr>
      </w:pPr>
      <w:r>
        <w:rPr>
          <w:rFonts w:cstheme="minorHAnsi"/>
          <w:sz w:val="22"/>
          <w:szCs w:val="22"/>
        </w:rPr>
        <w:t>Na etapie wyboru finansowania przedsiębiorcy patrzą przede wszystkim na wysokość raty, wykup, prowizję i całkowity koszt leasingu. Oferta ubezpieczeniowa rzadko jest spontanicznym kryterium wyboru leasingodawcy. Wraca do gry dopiero przy zestawianiu miesięcznego kosztu albo wtedy, gdy jej cena wyraźnie odbiega od rynku.</w:t>
      </w:r>
    </w:p>
    <w:p w14:paraId="1EFAFB1C" w14:textId="77777777" w:rsidR="00F5509C" w:rsidRDefault="00BA760D">
      <w:pPr>
        <w:spacing w:line="360" w:lineRule="auto"/>
        <w:jc w:val="both"/>
        <w:rPr>
          <w:rFonts w:cstheme="minorHAnsi"/>
          <w:sz w:val="22"/>
          <w:szCs w:val="22"/>
        </w:rPr>
      </w:pPr>
      <w:r>
        <w:rPr>
          <w:rFonts w:cstheme="minorHAnsi"/>
          <w:i/>
          <w:iCs/>
          <w:sz w:val="22"/>
          <w:szCs w:val="22"/>
        </w:rPr>
        <w:t>„Jeśli różnica wynosi 200–300 zł rocznie, nie opłaca mi się chodzić po zewnątrz. Ale jeśli na polisach floty oszczędzam 3–4 tysiące u swojego brokera, to wybór jest prosty – rozdzielam leasing i ubezpieczenie”</w:t>
      </w:r>
      <w:r>
        <w:rPr>
          <w:rFonts w:cstheme="minorHAnsi"/>
          <w:sz w:val="22"/>
          <w:szCs w:val="22"/>
        </w:rPr>
        <w:t xml:space="preserve"> – mówił jeden z badanych.</w:t>
      </w:r>
    </w:p>
    <w:p w14:paraId="1D803458" w14:textId="77777777" w:rsidR="00F5509C" w:rsidRDefault="00F5509C">
      <w:pPr>
        <w:spacing w:line="360" w:lineRule="auto"/>
        <w:jc w:val="both"/>
        <w:rPr>
          <w:rFonts w:cstheme="minorHAnsi"/>
          <w:sz w:val="22"/>
          <w:szCs w:val="22"/>
        </w:rPr>
      </w:pPr>
    </w:p>
    <w:p w14:paraId="5A64DF45" w14:textId="77777777" w:rsidR="00F5509C" w:rsidRDefault="00BA760D">
      <w:pPr>
        <w:keepNext/>
        <w:spacing w:line="360" w:lineRule="auto"/>
        <w:jc w:val="both"/>
        <w:rPr>
          <w:rFonts w:cstheme="minorHAnsi"/>
          <w:b/>
          <w:bCs/>
          <w:color w:val="0070C0"/>
        </w:rPr>
      </w:pPr>
      <w:r>
        <w:rPr>
          <w:rFonts w:cstheme="minorHAnsi"/>
          <w:b/>
          <w:bCs/>
          <w:color w:val="0070C0"/>
        </w:rPr>
        <w:lastRenderedPageBreak/>
        <w:t>One-Stop-Shop wygrywa, jeśli cena jest rynkowa</w:t>
      </w:r>
    </w:p>
    <w:p w14:paraId="6AD648F5" w14:textId="77777777" w:rsidR="00F5509C" w:rsidRDefault="00BA760D">
      <w:pPr>
        <w:spacing w:line="360" w:lineRule="auto"/>
        <w:jc w:val="both"/>
        <w:rPr>
          <w:rFonts w:cstheme="minorHAnsi"/>
          <w:sz w:val="22"/>
          <w:szCs w:val="22"/>
        </w:rPr>
      </w:pPr>
      <w:r>
        <w:rPr>
          <w:rFonts w:cstheme="minorHAnsi"/>
          <w:sz w:val="22"/>
          <w:szCs w:val="22"/>
        </w:rPr>
        <w:t>Klienci, którzy ubezpieczyli przedmiot u leasingodawcy, wskazywali na możliwość wliczenia składki w ratę, wygodę, gwarancję ceny na cały okres umowy oraz brak opłat za zgodę na polisę zewnętrzną. Akceptowalna dopłata za wygodę jest jednak indywidualna – od kilkuset do kilku tysięcy złotych. Ci, którzy wybrali polisę zewnętrzną, kierowali się ceną, wieloletnią relacją z własnym agentem, promocjami dealerskimi lub posiadanym pakietem ubezpieczeń firmowych. Większość badanych przed decyzją porównuje 2–3 oferty: od leasingodawcy, z salonu i od własnego agenta.</w:t>
      </w:r>
    </w:p>
    <w:p w14:paraId="65BE5CAA" w14:textId="77777777" w:rsidR="00960F7D" w:rsidRDefault="00960F7D">
      <w:pPr>
        <w:spacing w:line="360" w:lineRule="auto"/>
        <w:jc w:val="both"/>
        <w:rPr>
          <w:rFonts w:cstheme="minorHAnsi"/>
          <w:sz w:val="22"/>
          <w:szCs w:val="22"/>
        </w:rPr>
      </w:pPr>
    </w:p>
    <w:p w14:paraId="4F682832" w14:textId="62851933" w:rsidR="00EA0063" w:rsidRPr="00EA0063" w:rsidRDefault="00EA0063" w:rsidP="00EA0063">
      <w:pPr>
        <w:spacing w:line="360" w:lineRule="auto"/>
        <w:jc w:val="both"/>
        <w:rPr>
          <w:rFonts w:cstheme="minorHAnsi"/>
          <w:sz w:val="22"/>
          <w:szCs w:val="22"/>
        </w:rPr>
      </w:pPr>
      <w:r>
        <w:rPr>
          <w:rFonts w:cstheme="minorHAnsi"/>
          <w:sz w:val="22"/>
          <w:szCs w:val="22"/>
        </w:rPr>
        <w:t xml:space="preserve">- </w:t>
      </w:r>
      <w:r>
        <w:rPr>
          <w:rFonts w:cstheme="minorHAnsi"/>
          <w:i/>
          <w:iCs/>
          <w:sz w:val="22"/>
          <w:szCs w:val="22"/>
        </w:rPr>
        <w:t>Badanie pokazuje, jak pragmatyczni są klienci. Nie są przywiązani do marki ubezpieczyciela, często nawet jej nie pamiętają. Znacznie ważniejsze jest dla nich to, czy oferta była czytelna, czy cena była uczciwa i czy ktoś im pomógł, gdy pojawiła się szkoda</w:t>
      </w:r>
      <w:r>
        <w:rPr>
          <w:rFonts w:cstheme="minorHAnsi"/>
          <w:sz w:val="22"/>
          <w:szCs w:val="22"/>
        </w:rPr>
        <w:t xml:space="preserve"> – mówi </w:t>
      </w:r>
      <w:r>
        <w:rPr>
          <w:rFonts w:cstheme="minorHAnsi"/>
          <w:b/>
          <w:bCs/>
          <w:sz w:val="22"/>
          <w:szCs w:val="22"/>
        </w:rPr>
        <w:t>Konrad Korek</w:t>
      </w:r>
      <w:r>
        <w:rPr>
          <w:rFonts w:cstheme="minorHAnsi"/>
          <w:sz w:val="22"/>
          <w:szCs w:val="22"/>
        </w:rPr>
        <w:t xml:space="preserve">, Santander Consumer </w:t>
      </w:r>
      <w:proofErr w:type="spellStart"/>
      <w:r>
        <w:rPr>
          <w:rFonts w:cstheme="minorHAnsi"/>
          <w:sz w:val="22"/>
          <w:szCs w:val="22"/>
        </w:rPr>
        <w:t>Multirent</w:t>
      </w:r>
      <w:proofErr w:type="spellEnd"/>
      <w:r>
        <w:rPr>
          <w:rFonts w:cstheme="minorHAnsi"/>
          <w:sz w:val="22"/>
          <w:szCs w:val="22"/>
        </w:rPr>
        <w:t>.</w:t>
      </w:r>
    </w:p>
    <w:p w14:paraId="39B9D89D" w14:textId="77777777" w:rsidR="00F5509C" w:rsidRDefault="00F5509C">
      <w:pPr>
        <w:spacing w:line="360" w:lineRule="auto"/>
        <w:jc w:val="both"/>
        <w:rPr>
          <w:rFonts w:cstheme="minorHAnsi"/>
          <w:sz w:val="22"/>
          <w:szCs w:val="22"/>
        </w:rPr>
      </w:pPr>
    </w:p>
    <w:p w14:paraId="29B7D162" w14:textId="77777777" w:rsidR="00F5509C" w:rsidRDefault="00BA760D">
      <w:pPr>
        <w:keepNext/>
        <w:spacing w:line="360" w:lineRule="auto"/>
        <w:jc w:val="both"/>
        <w:rPr>
          <w:rFonts w:cstheme="minorHAnsi"/>
          <w:b/>
          <w:bCs/>
          <w:color w:val="0070C0"/>
        </w:rPr>
      </w:pPr>
      <w:r>
        <w:rPr>
          <w:rFonts w:cstheme="minorHAnsi"/>
          <w:b/>
          <w:bCs/>
          <w:color w:val="0070C0"/>
        </w:rPr>
        <w:t>Najlepszy moment na ofertę: początek rozmów o leasingu</w:t>
      </w:r>
    </w:p>
    <w:p w14:paraId="0BE867FC" w14:textId="77777777" w:rsidR="00F5509C" w:rsidRDefault="00BA760D">
      <w:pPr>
        <w:spacing w:line="360" w:lineRule="auto"/>
        <w:jc w:val="both"/>
        <w:rPr>
          <w:rFonts w:cstheme="minorHAnsi"/>
          <w:sz w:val="22"/>
          <w:szCs w:val="22"/>
        </w:rPr>
      </w:pPr>
      <w:r>
        <w:rPr>
          <w:rFonts w:cstheme="minorHAnsi"/>
          <w:sz w:val="22"/>
          <w:szCs w:val="22"/>
        </w:rPr>
        <w:t>Dla znacznej części badanych najlepszym momentem na przedstawienie ubezpieczenia jest sam początek procesu. Klienci chcą od razu znać pełne obciążenie finansowe i mieć czas na porównanie ofert. Oferta przedstawiona na kilka dni przed odbiorem pojazdu budzi poczucie „postawienia pod ścianą”.</w:t>
      </w:r>
    </w:p>
    <w:p w14:paraId="6DE9D7AE" w14:textId="77777777" w:rsidR="00F5509C" w:rsidRDefault="00F5509C">
      <w:pPr>
        <w:spacing w:line="360" w:lineRule="auto"/>
        <w:jc w:val="both"/>
        <w:rPr>
          <w:rFonts w:cstheme="minorHAnsi"/>
          <w:sz w:val="22"/>
          <w:szCs w:val="22"/>
        </w:rPr>
      </w:pPr>
    </w:p>
    <w:p w14:paraId="3F0423B3" w14:textId="77777777" w:rsidR="00F5509C" w:rsidRDefault="00BA760D">
      <w:pPr>
        <w:keepNext/>
        <w:spacing w:line="360" w:lineRule="auto"/>
        <w:jc w:val="both"/>
        <w:rPr>
          <w:rFonts w:cstheme="minorHAnsi"/>
          <w:b/>
          <w:bCs/>
          <w:color w:val="0070C0"/>
        </w:rPr>
      </w:pPr>
      <w:r>
        <w:rPr>
          <w:rFonts w:cstheme="minorHAnsi"/>
          <w:b/>
          <w:bCs/>
          <w:color w:val="0070C0"/>
        </w:rPr>
        <w:t>Przejrzystość zamiast 20 stron drobnego druku</w:t>
      </w:r>
    </w:p>
    <w:p w14:paraId="1CDA5CAD" w14:textId="77777777" w:rsidR="00F5509C" w:rsidRDefault="00BA760D">
      <w:pPr>
        <w:spacing w:line="360" w:lineRule="auto"/>
        <w:jc w:val="both"/>
        <w:rPr>
          <w:rFonts w:cstheme="minorHAnsi"/>
          <w:sz w:val="22"/>
          <w:szCs w:val="22"/>
        </w:rPr>
      </w:pPr>
      <w:r>
        <w:rPr>
          <w:rFonts w:cstheme="minorHAnsi"/>
          <w:sz w:val="22"/>
          <w:szCs w:val="22"/>
        </w:rPr>
        <w:t>Badani w ogromnej większości nie czytają Ogólnych Warunków Ubezpieczenia. Oczekują jednostronicowego zestawienia wariantów, wyraźnego rozbicia raty leasingowej i składki, jednoznacznego oznaczenia kwot netto i brutto oraz jasnej listy wyłączeń. Kwota netto pokazana bez oznaczenia, która przy płatności rośnie o VAT, wywołuje poczucie wprowadzenia w błąd. Klienci, którzy ubezpieczają przedmiot leasingu we własnym zakresie, oczekują z kolei prostego procesu i jasnej informacji o wszystkich kosztach z tym związanych już na etapie oferty.</w:t>
      </w:r>
    </w:p>
    <w:p w14:paraId="4081972E" w14:textId="77777777" w:rsidR="00C878FC" w:rsidRPr="00A462C8" w:rsidRDefault="00C878FC">
      <w:pPr>
        <w:spacing w:line="360" w:lineRule="auto"/>
        <w:jc w:val="both"/>
        <w:rPr>
          <w:rFonts w:cstheme="minorHAnsi"/>
          <w:sz w:val="22"/>
          <w:szCs w:val="22"/>
        </w:rPr>
      </w:pPr>
    </w:p>
    <w:p w14:paraId="2D697045" w14:textId="68E46815" w:rsidR="00493D4B" w:rsidRPr="00493D4B" w:rsidRDefault="00000000" w:rsidP="00493D4B">
      <w:pPr>
        <w:spacing w:line="360" w:lineRule="auto"/>
        <w:jc w:val="both"/>
        <w:rPr>
          <w:rFonts w:cstheme="minorHAnsi"/>
          <w:b/>
          <w:bCs/>
          <w:sz w:val="22"/>
          <w:szCs w:val="22"/>
        </w:rPr>
      </w:pPr>
      <w:r>
        <w:rPr>
          <w:rFonts w:cstheme="minorHAnsi"/>
          <w:i/>
          <w:iCs/>
          <w:sz w:val="22"/>
          <w:szCs w:val="22"/>
        </w:rPr>
        <w:lastRenderedPageBreak/>
        <w:t>- Klienci nie chcą czytać kilkudziesięciu stron warunków ubezpieczenia. Chcą dostać jedną kartkę: ile kosztuje wariant A, ile wariant B i co dokładnie jest w cenie. Przejrzyste pokazanie kwot netto i brutto oraz wszystkich kosztów od pierwszej kalkulacji buduje zaufanie do całej transakcji leasingowej</w:t>
      </w:r>
      <w:r>
        <w:rPr>
          <w:rFonts w:cstheme="minorHAnsi"/>
          <w:sz w:val="22"/>
          <w:szCs w:val="22"/>
        </w:rPr>
        <w:t xml:space="preserve"> – mówi </w:t>
      </w:r>
      <w:r>
        <w:rPr>
          <w:rFonts w:cstheme="minorHAnsi"/>
          <w:b/>
          <w:bCs/>
          <w:sz w:val="22"/>
          <w:szCs w:val="22"/>
        </w:rPr>
        <w:t xml:space="preserve">Sylwia Kaczmarek, </w:t>
      </w:r>
      <w:r>
        <w:rPr>
          <w:rFonts w:cstheme="minorHAnsi"/>
          <w:sz w:val="22"/>
          <w:szCs w:val="22"/>
        </w:rPr>
        <w:t>dyrektorka ds. relacji z klientami i rozwiązań biznesowych, Grenkeleasing</w:t>
      </w:r>
      <w:r>
        <w:rPr>
          <w:rFonts w:cstheme="minorHAnsi"/>
          <w:b/>
          <w:bCs/>
          <w:sz w:val="22"/>
          <w:szCs w:val="22"/>
        </w:rPr>
        <w:t>.</w:t>
      </w:r>
    </w:p>
    <w:p w14:paraId="002219BD" w14:textId="77777777" w:rsidR="00F5509C" w:rsidRDefault="00F5509C">
      <w:pPr>
        <w:spacing w:line="360" w:lineRule="auto"/>
        <w:jc w:val="both"/>
        <w:rPr>
          <w:rFonts w:cstheme="minorHAnsi"/>
          <w:sz w:val="22"/>
          <w:szCs w:val="22"/>
        </w:rPr>
      </w:pPr>
    </w:p>
    <w:p w14:paraId="374226AD" w14:textId="77777777" w:rsidR="00F5509C" w:rsidRDefault="00BA760D">
      <w:pPr>
        <w:keepNext/>
        <w:spacing w:line="360" w:lineRule="auto"/>
        <w:jc w:val="both"/>
        <w:rPr>
          <w:rFonts w:cstheme="minorHAnsi"/>
          <w:b/>
          <w:bCs/>
          <w:color w:val="0070C0"/>
        </w:rPr>
      </w:pPr>
      <w:r>
        <w:rPr>
          <w:rFonts w:cstheme="minorHAnsi"/>
          <w:b/>
          <w:bCs/>
          <w:color w:val="0070C0"/>
        </w:rPr>
        <w:t>GAP liderem wśród ubezpieczeń dodatkowych</w:t>
      </w:r>
    </w:p>
    <w:p w14:paraId="7FD28B78" w14:textId="77777777" w:rsidR="00F5509C" w:rsidRDefault="00BA760D">
      <w:pPr>
        <w:spacing w:line="360" w:lineRule="auto"/>
        <w:jc w:val="both"/>
        <w:rPr>
          <w:rFonts w:cstheme="minorHAnsi"/>
          <w:sz w:val="22"/>
          <w:szCs w:val="22"/>
        </w:rPr>
      </w:pPr>
      <w:r>
        <w:rPr>
          <w:rFonts w:cstheme="minorHAnsi"/>
          <w:sz w:val="22"/>
          <w:szCs w:val="22"/>
        </w:rPr>
        <w:t>Najczęściej wybierany zestaw to OC + AC + NNW + Assistance, poszerzony o GAP. Wśród produktów dodatkowych GAP jest liderem pod względem świadomości i akceptacji, zwłaszcza przy nowych autach z salonu. Klienci, którym wyjaśniono mechanizm GAP, szybko stawali się jego zwolennikami. Jednocześnie odrzucają produkty dublujące się z posiadaną ochroną, np. NNW przy polisach pracowniczych czy Assistance przy gwarancji fabrycznej.</w:t>
      </w:r>
    </w:p>
    <w:p w14:paraId="4B3D73E7" w14:textId="77777777" w:rsidR="00F5509C" w:rsidRDefault="00F5509C">
      <w:pPr>
        <w:spacing w:line="360" w:lineRule="auto"/>
        <w:jc w:val="both"/>
        <w:rPr>
          <w:rFonts w:cstheme="minorHAnsi"/>
          <w:sz w:val="22"/>
          <w:szCs w:val="22"/>
        </w:rPr>
      </w:pPr>
    </w:p>
    <w:p w14:paraId="0F9441C2" w14:textId="77777777" w:rsidR="00F5509C" w:rsidRDefault="00BA760D">
      <w:pPr>
        <w:keepNext/>
        <w:spacing w:line="360" w:lineRule="auto"/>
        <w:jc w:val="both"/>
        <w:rPr>
          <w:rFonts w:cstheme="minorHAnsi"/>
          <w:b/>
          <w:bCs/>
          <w:color w:val="0070C0"/>
        </w:rPr>
      </w:pPr>
      <w:r>
        <w:rPr>
          <w:rFonts w:cstheme="minorHAnsi"/>
          <w:b/>
          <w:bCs/>
          <w:color w:val="0070C0"/>
        </w:rPr>
        <w:t>Doradca ważniejszy niż chatbot</w:t>
      </w:r>
    </w:p>
    <w:p w14:paraId="45AB64FA" w14:textId="77777777" w:rsidR="00F5509C" w:rsidRDefault="00BA760D">
      <w:pPr>
        <w:spacing w:line="360" w:lineRule="auto"/>
        <w:jc w:val="both"/>
        <w:rPr>
          <w:rFonts w:cstheme="minorHAnsi"/>
          <w:sz w:val="22"/>
          <w:szCs w:val="22"/>
        </w:rPr>
      </w:pPr>
      <w:r>
        <w:rPr>
          <w:rFonts w:cstheme="minorHAnsi"/>
          <w:sz w:val="22"/>
          <w:szCs w:val="22"/>
        </w:rPr>
        <w:t>Doradca leasingowy pełni rolę „filtra jakości” – to na niego klienci przenoszą odpowiedzialność za właściwy zakres polisy. Wysoko oceniają podpis elektroniczny i portale samoobsługowe, ale niechętnie podchodzą do chatbotów, voicebotów i rozbudowanych infolinii. Wbrew wcześniejszym hipotezom młodzi przedsiębiorcy (do 30 lat) wykazują równą lub większą nieufność wobec AI niż starsi respondenci.</w:t>
      </w:r>
    </w:p>
    <w:p w14:paraId="5B4F214C" w14:textId="77777777" w:rsidR="00C878FC" w:rsidRDefault="00C878FC">
      <w:pPr>
        <w:spacing w:line="360" w:lineRule="auto"/>
        <w:jc w:val="both"/>
        <w:rPr>
          <w:rFonts w:cstheme="minorHAnsi"/>
          <w:sz w:val="22"/>
          <w:szCs w:val="22"/>
        </w:rPr>
      </w:pPr>
    </w:p>
    <w:p w14:paraId="587B8ED8" w14:textId="0468E20C" w:rsidR="005F38A8" w:rsidRDefault="00962705">
      <w:pPr>
        <w:spacing w:line="360" w:lineRule="auto"/>
        <w:jc w:val="both"/>
        <w:rPr>
          <w:rFonts w:cstheme="minorHAnsi"/>
          <w:sz w:val="22"/>
          <w:szCs w:val="22"/>
        </w:rPr>
      </w:pPr>
      <w:r>
        <w:rPr>
          <w:rFonts w:cstheme="minorHAnsi"/>
          <w:i/>
          <w:iCs/>
          <w:sz w:val="22"/>
          <w:szCs w:val="22"/>
        </w:rPr>
        <w:t>- To spójne z naszymi tegorocznymi badaniami. Prawie 60 proc. klientów podpisuje już umowę leasingu w formie dokumentowej, dopuszczonej od 13 lipca 2025 r. Jednocześnie najchętniej wybieranym kanałem kontaktu pozostaje bezpośrednia rozmowa z doradcą – wskazuje ją 60,9 proc. przedsiębiorców. Jakość obsługi to dla 70 proc. małych i średnich firm jedno z kluczowych kryteriów wyboru leasingu. Technologia powinna wspierać, a nie zastępować relację z klientem. Przy wyborze zakresu ochrony, a zwłaszcza przy szkodzie, przedsiębiorca chce porozmawiać z człowiekiem, który wyjaśni różnice i pomoże dobrać ubezpieczenie do potrzeb firmy</w:t>
      </w:r>
      <w:r>
        <w:rPr>
          <w:rFonts w:cstheme="minorHAnsi"/>
          <w:sz w:val="22"/>
          <w:szCs w:val="22"/>
        </w:rPr>
        <w:t xml:space="preserve"> – mówi </w:t>
      </w:r>
      <w:r>
        <w:rPr>
          <w:rFonts w:cstheme="minorHAnsi"/>
          <w:b/>
          <w:bCs/>
          <w:sz w:val="22"/>
          <w:szCs w:val="22"/>
        </w:rPr>
        <w:t>Monika Constant, prezeska Związku Polskiego Leasingu</w:t>
      </w:r>
      <w:r>
        <w:rPr>
          <w:rFonts w:cstheme="minorHAnsi"/>
          <w:sz w:val="22"/>
          <w:szCs w:val="22"/>
        </w:rPr>
        <w:t>.</w:t>
      </w:r>
    </w:p>
    <w:p w14:paraId="037C3FB3" w14:textId="77777777" w:rsidR="009C358E" w:rsidRDefault="009C358E">
      <w:pPr>
        <w:spacing w:line="360" w:lineRule="auto"/>
        <w:jc w:val="both"/>
        <w:rPr>
          <w:rFonts w:cstheme="minorHAnsi"/>
          <w:sz w:val="22"/>
          <w:szCs w:val="22"/>
        </w:rPr>
      </w:pPr>
    </w:p>
    <w:p w14:paraId="6331EA9B" w14:textId="77777777" w:rsidR="00F5509C" w:rsidRPr="002E4C33" w:rsidRDefault="00BA760D">
      <w:pPr>
        <w:keepNext/>
        <w:spacing w:line="360" w:lineRule="auto"/>
        <w:jc w:val="both"/>
        <w:rPr>
          <w:rFonts w:cstheme="minorHAnsi"/>
          <w:b/>
          <w:bCs/>
        </w:rPr>
      </w:pPr>
      <w:r>
        <w:rPr>
          <w:rFonts w:cstheme="minorHAnsi"/>
          <w:b/>
          <w:bCs/>
        </w:rPr>
        <w:lastRenderedPageBreak/>
        <w:t>O danych i badaniu</w:t>
      </w:r>
    </w:p>
    <w:p w14:paraId="0D022031" w14:textId="77777777" w:rsidR="00F5509C" w:rsidRDefault="00BA760D">
      <w:pPr>
        <w:spacing w:line="360" w:lineRule="auto"/>
        <w:jc w:val="both"/>
        <w:rPr>
          <w:rFonts w:cstheme="minorHAnsi"/>
          <w:sz w:val="22"/>
          <w:szCs w:val="22"/>
        </w:rPr>
      </w:pPr>
      <w:r>
        <w:rPr>
          <w:rFonts w:cstheme="minorHAnsi"/>
          <w:sz w:val="22"/>
          <w:szCs w:val="22"/>
        </w:rPr>
        <w:t>Dane o składkach to szacunek Związku Polskiego Leasingu dla całego rynku leasingu za lata 2024–2025 i I półrocze 2026 r. Ubezpieczenia w pakiecie leasingowym to polisy z oferty firmy leasingowej, ubezpieczenia zewnętrzne – zawarte przez klienta we własnym zakresie.</w:t>
      </w:r>
    </w:p>
    <w:p w14:paraId="2599B026" w14:textId="71AC68A5" w:rsidR="00F5509C" w:rsidRDefault="00BA760D">
      <w:pPr>
        <w:spacing w:line="360" w:lineRule="auto"/>
        <w:jc w:val="both"/>
        <w:rPr>
          <w:rFonts w:cstheme="minorHAnsi"/>
          <w:sz w:val="22"/>
          <w:szCs w:val="22"/>
        </w:rPr>
      </w:pPr>
      <w:r>
        <w:rPr>
          <w:rFonts w:cstheme="minorHAnsi"/>
          <w:sz w:val="22"/>
          <w:szCs w:val="22"/>
        </w:rPr>
        <w:t xml:space="preserve">Badanie „Opinie przedsiębiorców na temat ubezpieczania przedmiotu leasingu/pożyczki w Polsce” zrealizowano na zlecenie ZPL metodą indywidualnych wywiadów pogłębionych (IDI) w dniach 3 lipca – 7 października 2026 r. Przeprowadzono 41 pogłębionych wywiadów z przedsiębiorcami z całej Polski, którzy w ciągu ostatnich 6 miesięcy podpisali umowę leasingu lub pożyczki. W 87 proc. przypadków przedmiotem finansowania był pojazd, w 13 proc. – maszyna lub urządzenie. Badanie ma charakter jakościowy – jego wyniki nie są reprezentatywne statystycznie. </w:t>
      </w:r>
    </w:p>
    <w:p w14:paraId="7712F1C0" w14:textId="7DFBCDD1" w:rsidR="004503EC" w:rsidRPr="00AD4E46" w:rsidRDefault="00000000" w:rsidP="00EA7001">
      <w:pPr>
        <w:spacing w:before="240" w:after="240" w:line="360" w:lineRule="auto"/>
        <w:jc w:val="both"/>
        <w:rPr>
          <w:rFonts w:cstheme="minorHAnsi"/>
          <w:sz w:val="32"/>
          <w:szCs w:val="32"/>
        </w:rPr>
      </w:pPr>
      <w:r>
        <w:rPr>
          <w:rFonts w:cstheme="minorHAnsi"/>
          <w:b/>
          <w:bCs/>
          <w:color w:val="0070C0"/>
          <w:sz w:val="32"/>
          <w:szCs w:val="32"/>
        </w:rPr>
        <w:pict w14:anchorId="754BF4D0">
          <v:rect id="_x0000_i1025" style="width:0;height:1.5pt" o:hralign="center" o:hrstd="t" o:hr="t" fillcolor="#a0a0a0" stroked="f"/>
        </w:pict>
      </w:r>
    </w:p>
    <w:p w14:paraId="40E5B297" w14:textId="77777777" w:rsidR="008B319C" w:rsidRPr="00AD4E46" w:rsidRDefault="008B319C" w:rsidP="00EA7001">
      <w:pPr>
        <w:spacing w:before="240" w:line="360" w:lineRule="auto"/>
        <w:jc w:val="both"/>
        <w:rPr>
          <w:rFonts w:cstheme="minorHAnsi"/>
          <w:b/>
          <w:sz w:val="20"/>
          <w:szCs w:val="20"/>
          <w:shd w:val="clear" w:color="auto" w:fill="FFFFFF"/>
        </w:rPr>
      </w:pPr>
      <w:r>
        <w:rPr>
          <w:rFonts w:cstheme="minorHAnsi"/>
          <w:b/>
          <w:sz w:val="20"/>
          <w:szCs w:val="20"/>
          <w:shd w:val="clear" w:color="auto" w:fill="FFFFFF"/>
        </w:rPr>
        <w:t>Związek Polskiego Leasingu</w:t>
      </w:r>
    </w:p>
    <w:p w14:paraId="4B079E54" w14:textId="016BEB00" w:rsidR="000026C6" w:rsidRPr="00AD4E46" w:rsidRDefault="004F7B4A" w:rsidP="00EA7001">
      <w:pPr>
        <w:tabs>
          <w:tab w:val="num" w:pos="720"/>
        </w:tabs>
        <w:spacing w:before="240" w:line="360" w:lineRule="auto"/>
        <w:jc w:val="both"/>
        <w:rPr>
          <w:rFonts w:cstheme="minorHAnsi"/>
          <w:sz w:val="16"/>
          <w:szCs w:val="16"/>
          <w:shd w:val="clear" w:color="auto" w:fill="FFFFFF"/>
        </w:rPr>
      </w:pPr>
      <w:r>
        <w:rPr>
          <w:rFonts w:cstheme="minorHAnsi"/>
          <w:bCs/>
          <w:sz w:val="16"/>
          <w:szCs w:val="16"/>
          <w:shd w:val="clear" w:color="auto" w:fill="FFFFFF"/>
        </w:rPr>
        <w:t xml:space="preserve">To </w:t>
      </w:r>
      <w:r>
        <w:rPr>
          <w:rFonts w:cstheme="minorHAnsi"/>
          <w:sz w:val="16"/>
          <w:szCs w:val="16"/>
          <w:shd w:val="clear" w:color="auto" w:fill="FFFFFF"/>
        </w:rPr>
        <w:t>organizacja reprezentująca branżę leasingową w Polsce. Związek zrzesza 37 podmiotów obejmujących ponad 90 proc. sektora: 36 firm leasingowych oraz Polski Związek Wynajmu i Leasingu Pojazdów. ZPL prowadzi działania wizerunkowe i edukacyjne na rzecz propagowania leasingu jako narzędzia wspierającego rozwój przedsiębiorczości. Do zadań ZPL należy monitorowanie, opiniowanie oraz opracowywanie ekspertyz w zakresie regulacji dotyczących leasingu. Związek jest aktywnym członkiem Leaseurope – europejskiej federacji organizacji branży leasingowej i wynajmu pojazdów, zrzeszającej 45 stowarzyszeń z 32 krajów Europy. W 2024 roku ZPL obchodził 30-lecie istnienia. W ciągu trzech dekad firmy leasingowe przeznaczyły ponad 1 bln zł na inwestycje przedsiębiorstw działających w Polsce. W 2025 roku firmy leasingowe sfinansowały inwestycje przedsiębiorstw na kwotę 119,5 mld zł. Oznacza to wzrost rynku o 8,1 proc. r/r.</w:t>
      </w:r>
    </w:p>
    <w:p w14:paraId="143F7770" w14:textId="77777777" w:rsidR="008B319C" w:rsidRPr="00AD4E46" w:rsidRDefault="008B319C" w:rsidP="00EA7001">
      <w:pPr>
        <w:spacing w:line="360" w:lineRule="auto"/>
        <w:jc w:val="both"/>
        <w:rPr>
          <w:rFonts w:cstheme="minorHAnsi"/>
          <w:sz w:val="16"/>
          <w:szCs w:val="16"/>
          <w:shd w:val="clear" w:color="auto" w:fill="FFFFFF"/>
        </w:rPr>
      </w:pPr>
    </w:p>
    <w:p w14:paraId="61D5CFE3" w14:textId="77777777" w:rsidR="008B319C" w:rsidRPr="00AD4E46" w:rsidRDefault="008B319C" w:rsidP="00EA7001">
      <w:pPr>
        <w:spacing w:line="360" w:lineRule="auto"/>
        <w:jc w:val="both"/>
        <w:rPr>
          <w:rFonts w:cstheme="minorHAnsi"/>
        </w:rPr>
      </w:pPr>
      <w:r>
        <w:rPr>
          <w:rFonts w:cstheme="minorHAnsi"/>
          <w:sz w:val="16"/>
          <w:szCs w:val="16"/>
          <w:shd w:val="clear" w:color="auto" w:fill="FFFFFF"/>
        </w:rPr>
        <w:t xml:space="preserve">Dodatkowe informacje: </w:t>
      </w:r>
      <w:hyperlink r:id="rId10" w:history="1">
        <w:r>
          <w:rPr>
            <w:rStyle w:val="Hipercze"/>
            <w:rFonts w:cstheme="minorHAnsi"/>
            <w:sz w:val="16"/>
            <w:szCs w:val="16"/>
            <w:shd w:val="clear" w:color="auto" w:fill="FFFFFF"/>
          </w:rPr>
          <w:t>www.leasing.org.pl</w:t>
        </w:r>
      </w:hyperlink>
    </w:p>
    <w:p w14:paraId="66700255" w14:textId="63520437" w:rsidR="008B319C" w:rsidRPr="00AD4E46" w:rsidRDefault="00000000" w:rsidP="00EA7001">
      <w:pPr>
        <w:spacing w:line="360" w:lineRule="auto"/>
        <w:jc w:val="both"/>
        <w:rPr>
          <w:rFonts w:cstheme="minorHAnsi"/>
        </w:rPr>
      </w:pPr>
      <w:r>
        <w:rPr>
          <w:rFonts w:cstheme="minorHAnsi"/>
          <w:b/>
          <w:bCs/>
          <w:color w:val="0070C0"/>
          <w:sz w:val="32"/>
          <w:szCs w:val="32"/>
        </w:rPr>
        <w:pict w14:anchorId="6A5E4DC0">
          <v:rect id="_x0000_i1026" style="width:0;height:1.5pt" o:hralign="center" o:hrstd="t" o:hr="t" fillcolor="#a0a0a0" stroked="f"/>
        </w:pict>
      </w:r>
    </w:p>
    <w:p w14:paraId="72165DC1" w14:textId="77777777" w:rsidR="008B319C" w:rsidRPr="00AD4E46" w:rsidRDefault="008B319C" w:rsidP="00EA7001">
      <w:pPr>
        <w:spacing w:line="360" w:lineRule="auto"/>
        <w:jc w:val="both"/>
        <w:rPr>
          <w:rFonts w:cstheme="minorHAnsi"/>
          <w:b/>
          <w:sz w:val="18"/>
          <w:szCs w:val="18"/>
          <w:shd w:val="clear" w:color="auto" w:fill="FFFFFF"/>
        </w:rPr>
      </w:pPr>
      <w:r>
        <w:rPr>
          <w:rFonts w:cstheme="minorHAnsi"/>
          <w:b/>
          <w:sz w:val="18"/>
          <w:szCs w:val="18"/>
          <w:shd w:val="clear" w:color="auto" w:fill="FFFFFF"/>
        </w:rPr>
        <w:t>Kontakt dla mediów:</w:t>
      </w:r>
    </w:p>
    <w:p w14:paraId="5F179E03" w14:textId="77777777" w:rsidR="008B319C" w:rsidRPr="00AD4E46" w:rsidRDefault="008B319C" w:rsidP="00EA7001">
      <w:pPr>
        <w:spacing w:line="360" w:lineRule="auto"/>
        <w:jc w:val="both"/>
        <w:rPr>
          <w:rFonts w:cstheme="minorHAnsi"/>
          <w:sz w:val="18"/>
          <w:szCs w:val="18"/>
        </w:rPr>
      </w:pPr>
      <w:r>
        <w:rPr>
          <w:rFonts w:cstheme="minorHAnsi"/>
          <w:sz w:val="18"/>
          <w:szCs w:val="18"/>
        </w:rPr>
        <w:t>Katarzyna Ostrowska</w:t>
      </w:r>
    </w:p>
    <w:p w14:paraId="2815BE52" w14:textId="77777777" w:rsidR="008B319C" w:rsidRPr="00AD4E46" w:rsidRDefault="008B319C" w:rsidP="00EA7001">
      <w:pPr>
        <w:spacing w:line="360" w:lineRule="auto"/>
        <w:jc w:val="both"/>
        <w:rPr>
          <w:rFonts w:cstheme="minorHAnsi"/>
          <w:sz w:val="18"/>
          <w:szCs w:val="18"/>
        </w:rPr>
      </w:pPr>
      <w:r>
        <w:rPr>
          <w:rFonts w:cstheme="minorHAnsi"/>
          <w:sz w:val="18"/>
          <w:szCs w:val="18"/>
        </w:rPr>
        <w:t>Dyrektorka ds. komunikacji i PR</w:t>
      </w:r>
    </w:p>
    <w:p w14:paraId="65331279" w14:textId="77777777" w:rsidR="008B319C" w:rsidRPr="00AD4E46" w:rsidRDefault="008B319C" w:rsidP="00EA7001">
      <w:pPr>
        <w:spacing w:line="360" w:lineRule="auto"/>
        <w:jc w:val="both"/>
        <w:rPr>
          <w:rFonts w:cstheme="minorHAnsi"/>
          <w:sz w:val="18"/>
          <w:szCs w:val="18"/>
          <w:lang w:val="de-DE"/>
        </w:rPr>
      </w:pPr>
      <w:r>
        <w:rPr>
          <w:rFonts w:cstheme="minorHAnsi"/>
          <w:sz w:val="18"/>
          <w:szCs w:val="18"/>
          <w:lang w:val="de-DE"/>
        </w:rPr>
        <w:t xml:space="preserve">e-mail: katarzyna.ostrowska@leasing.org.pl </w:t>
      </w:r>
    </w:p>
    <w:p w14:paraId="29DD4912" w14:textId="6EE3BBD2" w:rsidR="008B319C" w:rsidRPr="00AD4E46" w:rsidRDefault="008B319C" w:rsidP="00EA7001">
      <w:pPr>
        <w:spacing w:line="360" w:lineRule="auto"/>
        <w:jc w:val="both"/>
        <w:rPr>
          <w:rFonts w:cstheme="minorHAnsi"/>
          <w:sz w:val="18"/>
          <w:szCs w:val="18"/>
        </w:rPr>
      </w:pPr>
      <w:r>
        <w:rPr>
          <w:rFonts w:cstheme="minorHAnsi"/>
          <w:sz w:val="18"/>
          <w:szCs w:val="18"/>
        </w:rPr>
        <w:t>tel.: (+48) 697 770 498</w:t>
      </w:r>
    </w:p>
    <w:p w14:paraId="29490517" w14:textId="6A003B30" w:rsidR="008B319C" w:rsidRPr="00AD4E46" w:rsidRDefault="008B319C" w:rsidP="00EA7001">
      <w:pPr>
        <w:spacing w:line="360" w:lineRule="auto"/>
        <w:jc w:val="both"/>
        <w:rPr>
          <w:rFonts w:cstheme="minorHAnsi"/>
          <w:sz w:val="18"/>
          <w:szCs w:val="18"/>
        </w:rPr>
      </w:pPr>
      <w:r>
        <w:rPr>
          <w:rFonts w:cstheme="minorHAnsi"/>
          <w:sz w:val="18"/>
          <w:szCs w:val="18"/>
        </w:rPr>
        <w:t xml:space="preserve">Śledź nas na: </w:t>
      </w:r>
    </w:p>
    <w:p w14:paraId="34314914" w14:textId="4421FF1B" w:rsidR="008B319C" w:rsidRPr="00AD4E46" w:rsidRDefault="008B319C" w:rsidP="00EA7001">
      <w:pPr>
        <w:spacing w:line="360" w:lineRule="auto"/>
        <w:jc w:val="both"/>
        <w:rPr>
          <w:rFonts w:cstheme="minorHAnsi"/>
        </w:rPr>
      </w:pPr>
      <w:r>
        <w:rPr>
          <w:rFonts w:cstheme="minorHAnsi"/>
          <w:noProof/>
          <w:lang w:eastAsia="pl-PL"/>
          <w14:ligatures w14:val="none"/>
        </w:rPr>
        <w:drawing>
          <wp:inline distT="0" distB="0" distL="0" distR="0" wp14:anchorId="70926D3E" wp14:editId="3C75D50A">
            <wp:extent cx="270053" cy="270053"/>
            <wp:effectExtent l="0" t="0" r="0" b="0"/>
            <wp:docPr id="2114648539" name="Obraz 1" descr="Obraz zawierający krąg, Grafika, symbol, Jaskrawoniebieski&#10;&#10;Opis wygenerowany automatyczni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539" name="Obraz 1" descr="Obraz zawierający krąg, Grafika, symbol, Jaskrawoniebieski&#10;&#10;Opis wygenerowany automatycznie">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276415" cy="276415"/>
                    </a:xfrm>
                    <a:prstGeom prst="rect">
                      <a:avLst/>
                    </a:prstGeom>
                  </pic:spPr>
                </pic:pic>
              </a:graphicData>
            </a:graphic>
          </wp:inline>
        </w:drawing>
      </w:r>
      <w:r>
        <w:rPr>
          <w:rFonts w:cstheme="minorHAnsi"/>
          <w:noProof/>
          <w:lang w:eastAsia="pl-PL"/>
          <w14:ligatures w14:val="none"/>
        </w:rPr>
        <w:drawing>
          <wp:inline distT="0" distB="0" distL="0" distR="0" wp14:anchorId="0F7AC1AB" wp14:editId="73647936">
            <wp:extent cx="270662" cy="270662"/>
            <wp:effectExtent l="0" t="0" r="0" b="0"/>
            <wp:docPr id="1687359088" name="Obraz 2" descr="Obraz zawierający symbol, Czcionka, biały, Grafika&#10;&#10;Opis wygenerowany automatyczni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59088" name="Obraz 2" descr="Obraz zawierający symbol, Czcionka, biały, Grafika&#10;&#10;Opis wygenerowany automatycznie">
                      <a:hlinkClick r:id="rId13"/>
                    </pic:cNvPr>
                    <pic:cNvPicPr/>
                  </pic:nvPicPr>
                  <pic:blipFill>
                    <a:blip r:embed="rId14">
                      <a:extLst>
                        <a:ext uri="{28A0092B-C50C-407E-A947-70E740481C1C}">
                          <a14:useLocalDpi xmlns:a14="http://schemas.microsoft.com/office/drawing/2010/main" val="0"/>
                        </a:ext>
                      </a:extLst>
                    </a:blip>
                    <a:stretch>
                      <a:fillRect/>
                    </a:stretch>
                  </pic:blipFill>
                  <pic:spPr>
                    <a:xfrm>
                      <a:off x="0" y="0"/>
                      <a:ext cx="278162" cy="278162"/>
                    </a:xfrm>
                    <a:prstGeom prst="rect">
                      <a:avLst/>
                    </a:prstGeom>
                  </pic:spPr>
                </pic:pic>
              </a:graphicData>
            </a:graphic>
          </wp:inline>
        </w:drawing>
      </w:r>
    </w:p>
    <w:sectPr w:rsidR="008B319C" w:rsidRPr="00AD4E46" w:rsidSect="00D8460D">
      <w:headerReference w:type="default" r:id="rId15"/>
      <w:footerReference w:type="default" r:id="rId16"/>
      <w:pgSz w:w="11906" w:h="16838"/>
      <w:pgMar w:top="3970"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BCA12" w14:textId="77777777" w:rsidR="007D1455" w:rsidRDefault="007D1455" w:rsidP="00C64445">
      <w:r>
        <w:separator/>
      </w:r>
    </w:p>
  </w:endnote>
  <w:endnote w:type="continuationSeparator" w:id="0">
    <w:p w14:paraId="45E82F49" w14:textId="77777777" w:rsidR="007D1455" w:rsidRDefault="007D1455" w:rsidP="00C6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D575" w14:textId="0A22F897" w:rsidR="00C64445" w:rsidRDefault="0084396B">
    <w:pPr>
      <w:pStyle w:val="Stopka"/>
    </w:pPr>
    <w:r>
      <w:rPr>
        <w:noProof/>
      </w:rPr>
      <w:drawing>
        <wp:inline distT="0" distB="0" distL="0" distR="0" wp14:anchorId="7AA780EF" wp14:editId="59C7B775">
          <wp:extent cx="5760720" cy="369570"/>
          <wp:effectExtent l="0" t="0" r="5080" b="0"/>
          <wp:docPr id="14739538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75538" name="Obraz 1148675538"/>
                  <pic:cNvPicPr/>
                </pic:nvPicPr>
                <pic:blipFill>
                  <a:blip r:embed="rId1">
                    <a:extLst>
                      <a:ext uri="{28A0092B-C50C-407E-A947-70E740481C1C}">
                        <a14:useLocalDpi xmlns:a14="http://schemas.microsoft.com/office/drawing/2010/main" val="0"/>
                      </a:ext>
                    </a:extLst>
                  </a:blip>
                  <a:stretch>
                    <a:fillRect/>
                  </a:stretch>
                </pic:blipFill>
                <pic:spPr>
                  <a:xfrm>
                    <a:off x="0" y="0"/>
                    <a:ext cx="5760720" cy="369570"/>
                  </a:xfrm>
                  <a:prstGeom prst="rect">
                    <a:avLst/>
                  </a:prstGeom>
                </pic:spPr>
              </pic:pic>
            </a:graphicData>
          </a:graphic>
        </wp:inline>
      </w:drawing>
    </w:r>
    <w:r w:rsidR="00C64445">
      <w:ptab w:relativeTo="margin" w:alignment="center" w:leader="none"/>
    </w:r>
    <w:r w:rsidR="00C64445">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60E40" w14:textId="77777777" w:rsidR="007D1455" w:rsidRDefault="007D1455" w:rsidP="00C64445">
      <w:r>
        <w:separator/>
      </w:r>
    </w:p>
  </w:footnote>
  <w:footnote w:type="continuationSeparator" w:id="0">
    <w:p w14:paraId="530C574E" w14:textId="77777777" w:rsidR="007D1455" w:rsidRDefault="007D1455" w:rsidP="00C6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C2FDA" w14:textId="6EE0579F" w:rsidR="00C64445" w:rsidRDefault="00000000">
    <w:pPr>
      <w:pStyle w:val="Nagwek"/>
    </w:pPr>
    <w:sdt>
      <w:sdtPr>
        <w:id w:val="1595672344"/>
        <w:docPartObj>
          <w:docPartGallery w:val="Page Numbers (Margins)"/>
          <w:docPartUnique/>
        </w:docPartObj>
      </w:sdtPr>
      <w:sdtContent>
        <w:r w:rsidR="00506058">
          <w:rPr>
            <w:noProof/>
          </w:rPr>
          <mc:AlternateContent>
            <mc:Choice Requires="wps">
              <w:drawing>
                <wp:anchor distT="0" distB="0" distL="114300" distR="114300" simplePos="0" relativeHeight="251659264" behindDoc="0" locked="0" layoutInCell="0" allowOverlap="1" wp14:anchorId="4B46C4CC" wp14:editId="7B03281C">
                  <wp:simplePos x="0" y="0"/>
                  <wp:positionH relativeFrom="rightMargin">
                    <wp:align>center</wp:align>
                  </wp:positionH>
                  <wp:positionV relativeFrom="margin">
                    <wp:align>bottom</wp:align>
                  </wp:positionV>
                  <wp:extent cx="532765" cy="2183130"/>
                  <wp:effectExtent l="0" t="0" r="3810" b="0"/>
                  <wp:wrapNone/>
                  <wp:docPr id="1409853186"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8AE68" w14:textId="77777777" w:rsidR="00506058" w:rsidRDefault="00506058">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B46C4CC" id="Prostokąt 1"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74F8AE68" w14:textId="77777777" w:rsidR="00506058" w:rsidRDefault="00506058">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684E74">
      <w:rPr>
        <w:noProof/>
      </w:rPr>
      <w:drawing>
        <wp:inline distT="0" distB="0" distL="0" distR="0" wp14:anchorId="150CCEAE" wp14:editId="5DEDCE33">
          <wp:extent cx="1371600" cy="1126974"/>
          <wp:effectExtent l="0" t="0" r="0" b="0"/>
          <wp:docPr id="1458316460" name="Obraz 1" descr="Obraz zawierający tekst, Czcionka, Grafi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6347" name="Obraz 1" descr="Obraz zawierający tekst, Czcionka, Grafika, logo&#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382987" cy="1136330"/>
                  </a:xfrm>
                  <a:prstGeom prst="rect">
                    <a:avLst/>
                  </a:prstGeom>
                </pic:spPr>
              </pic:pic>
            </a:graphicData>
          </a:graphic>
        </wp:inline>
      </w:drawing>
    </w:r>
  </w:p>
  <w:p w14:paraId="2FE6978B" w14:textId="77777777" w:rsidR="00C64445" w:rsidRDefault="00C644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90802"/>
    <w:multiLevelType w:val="hybridMultilevel"/>
    <w:tmpl w:val="E856AB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F79416E"/>
    <w:multiLevelType w:val="multilevel"/>
    <w:tmpl w:val="B5FC3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64C39"/>
    <w:multiLevelType w:val="hybridMultilevel"/>
    <w:tmpl w:val="E5CC4648"/>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15:restartNumberingAfterBreak="0">
    <w:nsid w:val="20115F89"/>
    <w:multiLevelType w:val="hybridMultilevel"/>
    <w:tmpl w:val="8A987B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A971E60"/>
    <w:multiLevelType w:val="hybridMultilevel"/>
    <w:tmpl w:val="E9449C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9834AF"/>
    <w:multiLevelType w:val="hybridMultilevel"/>
    <w:tmpl w:val="A6323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74D30"/>
    <w:multiLevelType w:val="multilevel"/>
    <w:tmpl w:val="083AE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F07EA9"/>
    <w:multiLevelType w:val="multilevel"/>
    <w:tmpl w:val="C79A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3581261">
    <w:abstractNumId w:val="7"/>
  </w:num>
  <w:num w:numId="2" w16cid:durableId="1493990258">
    <w:abstractNumId w:val="4"/>
  </w:num>
  <w:num w:numId="3" w16cid:durableId="821774394">
    <w:abstractNumId w:val="5"/>
  </w:num>
  <w:num w:numId="4" w16cid:durableId="1610552384">
    <w:abstractNumId w:val="0"/>
  </w:num>
  <w:num w:numId="5" w16cid:durableId="445661475">
    <w:abstractNumId w:val="3"/>
  </w:num>
  <w:num w:numId="6" w16cid:durableId="542904170">
    <w:abstractNumId w:val="2"/>
  </w:num>
  <w:num w:numId="7" w16cid:durableId="1294094368">
    <w:abstractNumId w:val="1"/>
  </w:num>
  <w:num w:numId="8" w16cid:durableId="12014938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45"/>
    <w:rsid w:val="000000E2"/>
    <w:rsid w:val="000007F2"/>
    <w:rsid w:val="000026B6"/>
    <w:rsid w:val="000026C6"/>
    <w:rsid w:val="00004027"/>
    <w:rsid w:val="000119FB"/>
    <w:rsid w:val="000139EE"/>
    <w:rsid w:val="00015B85"/>
    <w:rsid w:val="00017649"/>
    <w:rsid w:val="0001765A"/>
    <w:rsid w:val="0002000A"/>
    <w:rsid w:val="000230B3"/>
    <w:rsid w:val="0002341D"/>
    <w:rsid w:val="00026258"/>
    <w:rsid w:val="00026267"/>
    <w:rsid w:val="000270DE"/>
    <w:rsid w:val="000279C9"/>
    <w:rsid w:val="00030263"/>
    <w:rsid w:val="00030CBE"/>
    <w:rsid w:val="000378A7"/>
    <w:rsid w:val="00040A75"/>
    <w:rsid w:val="000426F8"/>
    <w:rsid w:val="00043408"/>
    <w:rsid w:val="00045B7F"/>
    <w:rsid w:val="00046B54"/>
    <w:rsid w:val="00046BA6"/>
    <w:rsid w:val="0005239B"/>
    <w:rsid w:val="00054B09"/>
    <w:rsid w:val="00060AAA"/>
    <w:rsid w:val="00062F1F"/>
    <w:rsid w:val="00070A65"/>
    <w:rsid w:val="0007320F"/>
    <w:rsid w:val="00074185"/>
    <w:rsid w:val="00075D79"/>
    <w:rsid w:val="00080C41"/>
    <w:rsid w:val="00080F9A"/>
    <w:rsid w:val="00085624"/>
    <w:rsid w:val="0008695F"/>
    <w:rsid w:val="00087C5A"/>
    <w:rsid w:val="00091456"/>
    <w:rsid w:val="000918F6"/>
    <w:rsid w:val="00096CA6"/>
    <w:rsid w:val="00097119"/>
    <w:rsid w:val="000A145A"/>
    <w:rsid w:val="000B2597"/>
    <w:rsid w:val="000B25F9"/>
    <w:rsid w:val="000B30BE"/>
    <w:rsid w:val="000B42C8"/>
    <w:rsid w:val="000B5BB8"/>
    <w:rsid w:val="000C1967"/>
    <w:rsid w:val="000C430A"/>
    <w:rsid w:val="000C60C8"/>
    <w:rsid w:val="000D295A"/>
    <w:rsid w:val="000D2C07"/>
    <w:rsid w:val="000D3844"/>
    <w:rsid w:val="000D55C9"/>
    <w:rsid w:val="000D734F"/>
    <w:rsid w:val="000E3F2C"/>
    <w:rsid w:val="000E44B4"/>
    <w:rsid w:val="000E4EC0"/>
    <w:rsid w:val="000E5778"/>
    <w:rsid w:val="000F0265"/>
    <w:rsid w:val="000F1E11"/>
    <w:rsid w:val="000F3205"/>
    <w:rsid w:val="000F55E6"/>
    <w:rsid w:val="00101995"/>
    <w:rsid w:val="00103CEB"/>
    <w:rsid w:val="00104425"/>
    <w:rsid w:val="001054ED"/>
    <w:rsid w:val="001056CC"/>
    <w:rsid w:val="0011042D"/>
    <w:rsid w:val="00111056"/>
    <w:rsid w:val="001150F9"/>
    <w:rsid w:val="00116B72"/>
    <w:rsid w:val="00122775"/>
    <w:rsid w:val="001230CD"/>
    <w:rsid w:val="00124778"/>
    <w:rsid w:val="001253A1"/>
    <w:rsid w:val="00125E6E"/>
    <w:rsid w:val="00126D7E"/>
    <w:rsid w:val="00127BEE"/>
    <w:rsid w:val="00131CD0"/>
    <w:rsid w:val="00131D75"/>
    <w:rsid w:val="00133576"/>
    <w:rsid w:val="00135BFF"/>
    <w:rsid w:val="001416AC"/>
    <w:rsid w:val="00141CAA"/>
    <w:rsid w:val="0014353F"/>
    <w:rsid w:val="00144EE1"/>
    <w:rsid w:val="0014511E"/>
    <w:rsid w:val="001452BD"/>
    <w:rsid w:val="00145459"/>
    <w:rsid w:val="001519EE"/>
    <w:rsid w:val="00152DE2"/>
    <w:rsid w:val="0015356D"/>
    <w:rsid w:val="0015561F"/>
    <w:rsid w:val="00155F5D"/>
    <w:rsid w:val="00157180"/>
    <w:rsid w:val="00164D38"/>
    <w:rsid w:val="001652B8"/>
    <w:rsid w:val="00165647"/>
    <w:rsid w:val="001657AB"/>
    <w:rsid w:val="0016778E"/>
    <w:rsid w:val="00173204"/>
    <w:rsid w:val="00173D00"/>
    <w:rsid w:val="001810B5"/>
    <w:rsid w:val="0018129A"/>
    <w:rsid w:val="0018289C"/>
    <w:rsid w:val="00182F71"/>
    <w:rsid w:val="00183436"/>
    <w:rsid w:val="00184F8B"/>
    <w:rsid w:val="0018507B"/>
    <w:rsid w:val="00186150"/>
    <w:rsid w:val="00192A39"/>
    <w:rsid w:val="00192F40"/>
    <w:rsid w:val="0019410B"/>
    <w:rsid w:val="00196147"/>
    <w:rsid w:val="001A06B9"/>
    <w:rsid w:val="001A3E5F"/>
    <w:rsid w:val="001A4918"/>
    <w:rsid w:val="001A4F29"/>
    <w:rsid w:val="001A5150"/>
    <w:rsid w:val="001A66EF"/>
    <w:rsid w:val="001A6855"/>
    <w:rsid w:val="001A7D3A"/>
    <w:rsid w:val="001B0556"/>
    <w:rsid w:val="001B1BD1"/>
    <w:rsid w:val="001B37C5"/>
    <w:rsid w:val="001B40F3"/>
    <w:rsid w:val="001B69BB"/>
    <w:rsid w:val="001C02E9"/>
    <w:rsid w:val="001C109B"/>
    <w:rsid w:val="001C2893"/>
    <w:rsid w:val="001C44BB"/>
    <w:rsid w:val="001C58A6"/>
    <w:rsid w:val="001D18E0"/>
    <w:rsid w:val="001D26CA"/>
    <w:rsid w:val="001D4278"/>
    <w:rsid w:val="001D432B"/>
    <w:rsid w:val="001D46CD"/>
    <w:rsid w:val="001D58F4"/>
    <w:rsid w:val="001D6F0C"/>
    <w:rsid w:val="001E2415"/>
    <w:rsid w:val="001E59CF"/>
    <w:rsid w:val="001F1650"/>
    <w:rsid w:val="001F250F"/>
    <w:rsid w:val="001F2866"/>
    <w:rsid w:val="001F41AE"/>
    <w:rsid w:val="001F505B"/>
    <w:rsid w:val="001F57AC"/>
    <w:rsid w:val="001F7E64"/>
    <w:rsid w:val="002056E9"/>
    <w:rsid w:val="00207CFE"/>
    <w:rsid w:val="00210202"/>
    <w:rsid w:val="002113D3"/>
    <w:rsid w:val="00212802"/>
    <w:rsid w:val="00214B24"/>
    <w:rsid w:val="0021534F"/>
    <w:rsid w:val="002169BD"/>
    <w:rsid w:val="00221364"/>
    <w:rsid w:val="0022388D"/>
    <w:rsid w:val="0022460D"/>
    <w:rsid w:val="00224D89"/>
    <w:rsid w:val="00225C07"/>
    <w:rsid w:val="002267A3"/>
    <w:rsid w:val="00232A86"/>
    <w:rsid w:val="00234973"/>
    <w:rsid w:val="00240195"/>
    <w:rsid w:val="00240836"/>
    <w:rsid w:val="00244973"/>
    <w:rsid w:val="00246C6F"/>
    <w:rsid w:val="0025147D"/>
    <w:rsid w:val="00251977"/>
    <w:rsid w:val="00254A49"/>
    <w:rsid w:val="002555B6"/>
    <w:rsid w:val="00257990"/>
    <w:rsid w:val="0026034E"/>
    <w:rsid w:val="0026188F"/>
    <w:rsid w:val="00263A06"/>
    <w:rsid w:val="002663A2"/>
    <w:rsid w:val="0026795E"/>
    <w:rsid w:val="002733C7"/>
    <w:rsid w:val="0027542A"/>
    <w:rsid w:val="00275926"/>
    <w:rsid w:val="00275C3C"/>
    <w:rsid w:val="00277A38"/>
    <w:rsid w:val="00284ECC"/>
    <w:rsid w:val="002850D6"/>
    <w:rsid w:val="00292949"/>
    <w:rsid w:val="00292C1B"/>
    <w:rsid w:val="002951E3"/>
    <w:rsid w:val="00295E2E"/>
    <w:rsid w:val="002960C5"/>
    <w:rsid w:val="00297079"/>
    <w:rsid w:val="002A12B0"/>
    <w:rsid w:val="002A13CB"/>
    <w:rsid w:val="002A359B"/>
    <w:rsid w:val="002A4F17"/>
    <w:rsid w:val="002A52D7"/>
    <w:rsid w:val="002B5E79"/>
    <w:rsid w:val="002B6EFC"/>
    <w:rsid w:val="002C2302"/>
    <w:rsid w:val="002C5C7C"/>
    <w:rsid w:val="002C6A8C"/>
    <w:rsid w:val="002C7453"/>
    <w:rsid w:val="002D134A"/>
    <w:rsid w:val="002D1D18"/>
    <w:rsid w:val="002D5E88"/>
    <w:rsid w:val="002D6FAD"/>
    <w:rsid w:val="002D7150"/>
    <w:rsid w:val="002E0CDC"/>
    <w:rsid w:val="002E3500"/>
    <w:rsid w:val="002E460E"/>
    <w:rsid w:val="002E4C33"/>
    <w:rsid w:val="002E5331"/>
    <w:rsid w:val="002E6759"/>
    <w:rsid w:val="002F0CE3"/>
    <w:rsid w:val="002F1271"/>
    <w:rsid w:val="002F15BD"/>
    <w:rsid w:val="002F5B77"/>
    <w:rsid w:val="002F5D61"/>
    <w:rsid w:val="0030270E"/>
    <w:rsid w:val="00302FCE"/>
    <w:rsid w:val="00303AFC"/>
    <w:rsid w:val="00305E62"/>
    <w:rsid w:val="003120D4"/>
    <w:rsid w:val="00312863"/>
    <w:rsid w:val="003133C9"/>
    <w:rsid w:val="00314258"/>
    <w:rsid w:val="00315F53"/>
    <w:rsid w:val="0031628C"/>
    <w:rsid w:val="003203EA"/>
    <w:rsid w:val="003214C3"/>
    <w:rsid w:val="00323759"/>
    <w:rsid w:val="00323ED1"/>
    <w:rsid w:val="00324735"/>
    <w:rsid w:val="0032528B"/>
    <w:rsid w:val="003266DF"/>
    <w:rsid w:val="00331675"/>
    <w:rsid w:val="00331B7F"/>
    <w:rsid w:val="00333A1E"/>
    <w:rsid w:val="00333E20"/>
    <w:rsid w:val="00337A6D"/>
    <w:rsid w:val="00341428"/>
    <w:rsid w:val="00341CEF"/>
    <w:rsid w:val="00344C95"/>
    <w:rsid w:val="00344DAC"/>
    <w:rsid w:val="00346494"/>
    <w:rsid w:val="0035029C"/>
    <w:rsid w:val="00351CD6"/>
    <w:rsid w:val="0035399E"/>
    <w:rsid w:val="0035563D"/>
    <w:rsid w:val="00361E8C"/>
    <w:rsid w:val="0037098F"/>
    <w:rsid w:val="00370D35"/>
    <w:rsid w:val="003724FA"/>
    <w:rsid w:val="00373609"/>
    <w:rsid w:val="00375A9C"/>
    <w:rsid w:val="00381B26"/>
    <w:rsid w:val="00382534"/>
    <w:rsid w:val="00382C8A"/>
    <w:rsid w:val="00385164"/>
    <w:rsid w:val="003866DC"/>
    <w:rsid w:val="0038788E"/>
    <w:rsid w:val="00391B3D"/>
    <w:rsid w:val="003921F7"/>
    <w:rsid w:val="0039255D"/>
    <w:rsid w:val="00394118"/>
    <w:rsid w:val="003949C9"/>
    <w:rsid w:val="003A40AA"/>
    <w:rsid w:val="003A7A18"/>
    <w:rsid w:val="003B3761"/>
    <w:rsid w:val="003B3915"/>
    <w:rsid w:val="003B4004"/>
    <w:rsid w:val="003C1EEB"/>
    <w:rsid w:val="003C3AAE"/>
    <w:rsid w:val="003C5926"/>
    <w:rsid w:val="003C7F49"/>
    <w:rsid w:val="003D27B8"/>
    <w:rsid w:val="003D38C0"/>
    <w:rsid w:val="003D5772"/>
    <w:rsid w:val="003D596A"/>
    <w:rsid w:val="003D6437"/>
    <w:rsid w:val="003D712E"/>
    <w:rsid w:val="003D7E75"/>
    <w:rsid w:val="003D7EBE"/>
    <w:rsid w:val="003E272E"/>
    <w:rsid w:val="003E27D4"/>
    <w:rsid w:val="003E6DA1"/>
    <w:rsid w:val="003E6FCE"/>
    <w:rsid w:val="003F119A"/>
    <w:rsid w:val="003F19FE"/>
    <w:rsid w:val="003F330C"/>
    <w:rsid w:val="003F578D"/>
    <w:rsid w:val="003F76C1"/>
    <w:rsid w:val="004010E2"/>
    <w:rsid w:val="004011FD"/>
    <w:rsid w:val="0040246D"/>
    <w:rsid w:val="00405283"/>
    <w:rsid w:val="00406D43"/>
    <w:rsid w:val="0040767D"/>
    <w:rsid w:val="004172E6"/>
    <w:rsid w:val="0041741F"/>
    <w:rsid w:val="00424AF5"/>
    <w:rsid w:val="00425870"/>
    <w:rsid w:val="004264AB"/>
    <w:rsid w:val="004265DE"/>
    <w:rsid w:val="00430485"/>
    <w:rsid w:val="00433D1C"/>
    <w:rsid w:val="00434AE2"/>
    <w:rsid w:val="00434F86"/>
    <w:rsid w:val="004354F3"/>
    <w:rsid w:val="00435967"/>
    <w:rsid w:val="00436812"/>
    <w:rsid w:val="00442B70"/>
    <w:rsid w:val="004503EC"/>
    <w:rsid w:val="004507D3"/>
    <w:rsid w:val="00450DF3"/>
    <w:rsid w:val="00451821"/>
    <w:rsid w:val="00451868"/>
    <w:rsid w:val="00452D59"/>
    <w:rsid w:val="00454F26"/>
    <w:rsid w:val="00461B13"/>
    <w:rsid w:val="0046442C"/>
    <w:rsid w:val="00466719"/>
    <w:rsid w:val="004729B0"/>
    <w:rsid w:val="004744E0"/>
    <w:rsid w:val="00474E5C"/>
    <w:rsid w:val="00475945"/>
    <w:rsid w:val="00475CFC"/>
    <w:rsid w:val="00475D70"/>
    <w:rsid w:val="00476273"/>
    <w:rsid w:val="00481D5E"/>
    <w:rsid w:val="0048231F"/>
    <w:rsid w:val="004839F4"/>
    <w:rsid w:val="004846DD"/>
    <w:rsid w:val="00484F1D"/>
    <w:rsid w:val="00485DF4"/>
    <w:rsid w:val="00486FEE"/>
    <w:rsid w:val="0049322D"/>
    <w:rsid w:val="00493D4B"/>
    <w:rsid w:val="004964F3"/>
    <w:rsid w:val="00496EDF"/>
    <w:rsid w:val="004A0755"/>
    <w:rsid w:val="004A320C"/>
    <w:rsid w:val="004A3A6A"/>
    <w:rsid w:val="004A7C2A"/>
    <w:rsid w:val="004B1503"/>
    <w:rsid w:val="004B438B"/>
    <w:rsid w:val="004B4417"/>
    <w:rsid w:val="004C0587"/>
    <w:rsid w:val="004C51EE"/>
    <w:rsid w:val="004C744E"/>
    <w:rsid w:val="004C776E"/>
    <w:rsid w:val="004D0ADF"/>
    <w:rsid w:val="004D1ABE"/>
    <w:rsid w:val="004D3680"/>
    <w:rsid w:val="004D4C83"/>
    <w:rsid w:val="004E0580"/>
    <w:rsid w:val="004E22B6"/>
    <w:rsid w:val="004E3ADB"/>
    <w:rsid w:val="004E55E8"/>
    <w:rsid w:val="004E5A8F"/>
    <w:rsid w:val="004F132C"/>
    <w:rsid w:val="004F35AD"/>
    <w:rsid w:val="004F420F"/>
    <w:rsid w:val="004F4588"/>
    <w:rsid w:val="004F6CF3"/>
    <w:rsid w:val="004F7B4A"/>
    <w:rsid w:val="00506058"/>
    <w:rsid w:val="00507647"/>
    <w:rsid w:val="00507DA9"/>
    <w:rsid w:val="00510ACB"/>
    <w:rsid w:val="00515B42"/>
    <w:rsid w:val="00515D0B"/>
    <w:rsid w:val="0051752A"/>
    <w:rsid w:val="00520C4B"/>
    <w:rsid w:val="00521C30"/>
    <w:rsid w:val="00522292"/>
    <w:rsid w:val="00523B95"/>
    <w:rsid w:val="00525BA2"/>
    <w:rsid w:val="00530663"/>
    <w:rsid w:val="00532612"/>
    <w:rsid w:val="005358EE"/>
    <w:rsid w:val="005360E6"/>
    <w:rsid w:val="005400DC"/>
    <w:rsid w:val="0054107B"/>
    <w:rsid w:val="00545346"/>
    <w:rsid w:val="0054694C"/>
    <w:rsid w:val="005470A0"/>
    <w:rsid w:val="005476F7"/>
    <w:rsid w:val="00547D16"/>
    <w:rsid w:val="0055022C"/>
    <w:rsid w:val="005549D9"/>
    <w:rsid w:val="00556701"/>
    <w:rsid w:val="00556E29"/>
    <w:rsid w:val="00557BA7"/>
    <w:rsid w:val="00560732"/>
    <w:rsid w:val="00560F08"/>
    <w:rsid w:val="00562477"/>
    <w:rsid w:val="00562F1D"/>
    <w:rsid w:val="0056600A"/>
    <w:rsid w:val="00566D6D"/>
    <w:rsid w:val="00572D23"/>
    <w:rsid w:val="00573F94"/>
    <w:rsid w:val="00580DCE"/>
    <w:rsid w:val="00582063"/>
    <w:rsid w:val="00586FB1"/>
    <w:rsid w:val="0059644F"/>
    <w:rsid w:val="005A1B28"/>
    <w:rsid w:val="005A2655"/>
    <w:rsid w:val="005A28F6"/>
    <w:rsid w:val="005A7684"/>
    <w:rsid w:val="005B0EF0"/>
    <w:rsid w:val="005B1906"/>
    <w:rsid w:val="005B3A4A"/>
    <w:rsid w:val="005B647C"/>
    <w:rsid w:val="005B749B"/>
    <w:rsid w:val="005B7DCB"/>
    <w:rsid w:val="005C00AE"/>
    <w:rsid w:val="005C0744"/>
    <w:rsid w:val="005C1291"/>
    <w:rsid w:val="005C5088"/>
    <w:rsid w:val="005C52F9"/>
    <w:rsid w:val="005D1494"/>
    <w:rsid w:val="005D1DED"/>
    <w:rsid w:val="005D242C"/>
    <w:rsid w:val="005D3DBC"/>
    <w:rsid w:val="005D552A"/>
    <w:rsid w:val="005D79D1"/>
    <w:rsid w:val="005E30C5"/>
    <w:rsid w:val="005E4120"/>
    <w:rsid w:val="005E4DB0"/>
    <w:rsid w:val="005E6D4A"/>
    <w:rsid w:val="005E6FF1"/>
    <w:rsid w:val="005F075A"/>
    <w:rsid w:val="005F0C58"/>
    <w:rsid w:val="005F1B59"/>
    <w:rsid w:val="005F2E6D"/>
    <w:rsid w:val="005F38A8"/>
    <w:rsid w:val="005F3FD4"/>
    <w:rsid w:val="005F6459"/>
    <w:rsid w:val="005F7BAE"/>
    <w:rsid w:val="00605462"/>
    <w:rsid w:val="006075BA"/>
    <w:rsid w:val="0061396D"/>
    <w:rsid w:val="00614730"/>
    <w:rsid w:val="00615150"/>
    <w:rsid w:val="0061555F"/>
    <w:rsid w:val="00623464"/>
    <w:rsid w:val="0062588B"/>
    <w:rsid w:val="00625AD9"/>
    <w:rsid w:val="00630500"/>
    <w:rsid w:val="0063277D"/>
    <w:rsid w:val="00635BE4"/>
    <w:rsid w:val="00640C86"/>
    <w:rsid w:val="006411CD"/>
    <w:rsid w:val="00645008"/>
    <w:rsid w:val="00646047"/>
    <w:rsid w:val="00646957"/>
    <w:rsid w:val="00646C6B"/>
    <w:rsid w:val="00647128"/>
    <w:rsid w:val="0064771E"/>
    <w:rsid w:val="006504CB"/>
    <w:rsid w:val="00650B43"/>
    <w:rsid w:val="00651AA9"/>
    <w:rsid w:val="0065259C"/>
    <w:rsid w:val="006529EF"/>
    <w:rsid w:val="00652D15"/>
    <w:rsid w:val="00653377"/>
    <w:rsid w:val="00653861"/>
    <w:rsid w:val="0065662B"/>
    <w:rsid w:val="00657786"/>
    <w:rsid w:val="006607CA"/>
    <w:rsid w:val="00660B1F"/>
    <w:rsid w:val="00663265"/>
    <w:rsid w:val="0066439D"/>
    <w:rsid w:val="00664F20"/>
    <w:rsid w:val="0066677E"/>
    <w:rsid w:val="00673CAB"/>
    <w:rsid w:val="00673F17"/>
    <w:rsid w:val="00674C1C"/>
    <w:rsid w:val="00676325"/>
    <w:rsid w:val="00676545"/>
    <w:rsid w:val="00680A06"/>
    <w:rsid w:val="006827B9"/>
    <w:rsid w:val="00683456"/>
    <w:rsid w:val="00683AC5"/>
    <w:rsid w:val="00684AB2"/>
    <w:rsid w:val="00684E74"/>
    <w:rsid w:val="00690163"/>
    <w:rsid w:val="00692578"/>
    <w:rsid w:val="00693171"/>
    <w:rsid w:val="0069433B"/>
    <w:rsid w:val="006A5BAD"/>
    <w:rsid w:val="006A60E5"/>
    <w:rsid w:val="006A7540"/>
    <w:rsid w:val="006B0A1B"/>
    <w:rsid w:val="006B1A20"/>
    <w:rsid w:val="006B2D5D"/>
    <w:rsid w:val="006B3997"/>
    <w:rsid w:val="006B573C"/>
    <w:rsid w:val="006B5C05"/>
    <w:rsid w:val="006C2AF0"/>
    <w:rsid w:val="006C3E97"/>
    <w:rsid w:val="006C4C6E"/>
    <w:rsid w:val="006C632C"/>
    <w:rsid w:val="006C6E7F"/>
    <w:rsid w:val="006D5D71"/>
    <w:rsid w:val="006E24D2"/>
    <w:rsid w:val="006E5616"/>
    <w:rsid w:val="006E59E2"/>
    <w:rsid w:val="006E5EF6"/>
    <w:rsid w:val="006E7501"/>
    <w:rsid w:val="006F522D"/>
    <w:rsid w:val="006F52A2"/>
    <w:rsid w:val="006F7161"/>
    <w:rsid w:val="00704512"/>
    <w:rsid w:val="007047DF"/>
    <w:rsid w:val="007054A9"/>
    <w:rsid w:val="007164E4"/>
    <w:rsid w:val="00716743"/>
    <w:rsid w:val="0071752C"/>
    <w:rsid w:val="00720711"/>
    <w:rsid w:val="00721283"/>
    <w:rsid w:val="00721B74"/>
    <w:rsid w:val="00724480"/>
    <w:rsid w:val="00724B90"/>
    <w:rsid w:val="00741314"/>
    <w:rsid w:val="007416A3"/>
    <w:rsid w:val="00742031"/>
    <w:rsid w:val="00743B2D"/>
    <w:rsid w:val="00744DA3"/>
    <w:rsid w:val="00745031"/>
    <w:rsid w:val="007466DD"/>
    <w:rsid w:val="00746A59"/>
    <w:rsid w:val="007504A0"/>
    <w:rsid w:val="00753273"/>
    <w:rsid w:val="0075581C"/>
    <w:rsid w:val="007577C9"/>
    <w:rsid w:val="00760162"/>
    <w:rsid w:val="00761E68"/>
    <w:rsid w:val="0076210A"/>
    <w:rsid w:val="007622B3"/>
    <w:rsid w:val="00764481"/>
    <w:rsid w:val="00766A50"/>
    <w:rsid w:val="007709F9"/>
    <w:rsid w:val="00771C57"/>
    <w:rsid w:val="00772083"/>
    <w:rsid w:val="007727CD"/>
    <w:rsid w:val="00773180"/>
    <w:rsid w:val="007740CE"/>
    <w:rsid w:val="0077418B"/>
    <w:rsid w:val="00774D07"/>
    <w:rsid w:val="00774F1A"/>
    <w:rsid w:val="00776CCD"/>
    <w:rsid w:val="00777099"/>
    <w:rsid w:val="007830D8"/>
    <w:rsid w:val="00783C8F"/>
    <w:rsid w:val="00783EE0"/>
    <w:rsid w:val="007842DE"/>
    <w:rsid w:val="00784AE6"/>
    <w:rsid w:val="00784F4B"/>
    <w:rsid w:val="00792427"/>
    <w:rsid w:val="00793345"/>
    <w:rsid w:val="00795547"/>
    <w:rsid w:val="007A1FBB"/>
    <w:rsid w:val="007A3B2C"/>
    <w:rsid w:val="007A6DED"/>
    <w:rsid w:val="007B5BF4"/>
    <w:rsid w:val="007B657D"/>
    <w:rsid w:val="007B66E7"/>
    <w:rsid w:val="007C239D"/>
    <w:rsid w:val="007C5EAB"/>
    <w:rsid w:val="007C699F"/>
    <w:rsid w:val="007C6B07"/>
    <w:rsid w:val="007C6EBB"/>
    <w:rsid w:val="007D1455"/>
    <w:rsid w:val="007E07D2"/>
    <w:rsid w:val="007E1A60"/>
    <w:rsid w:val="007E4575"/>
    <w:rsid w:val="007E4E89"/>
    <w:rsid w:val="007E7A89"/>
    <w:rsid w:val="007F0AD9"/>
    <w:rsid w:val="007F31C2"/>
    <w:rsid w:val="007F7A9A"/>
    <w:rsid w:val="008031A6"/>
    <w:rsid w:val="008035D8"/>
    <w:rsid w:val="00803717"/>
    <w:rsid w:val="008077F1"/>
    <w:rsid w:val="0081108F"/>
    <w:rsid w:val="008116DD"/>
    <w:rsid w:val="00815865"/>
    <w:rsid w:val="008168EE"/>
    <w:rsid w:val="00820C25"/>
    <w:rsid w:val="00820D07"/>
    <w:rsid w:val="00821E0F"/>
    <w:rsid w:val="00821E6F"/>
    <w:rsid w:val="00821FA8"/>
    <w:rsid w:val="0082539A"/>
    <w:rsid w:val="0082600F"/>
    <w:rsid w:val="00827B67"/>
    <w:rsid w:val="008301AE"/>
    <w:rsid w:val="00831C99"/>
    <w:rsid w:val="00832EBF"/>
    <w:rsid w:val="008432D0"/>
    <w:rsid w:val="0084396B"/>
    <w:rsid w:val="00851589"/>
    <w:rsid w:val="00852158"/>
    <w:rsid w:val="00854AE6"/>
    <w:rsid w:val="00855B62"/>
    <w:rsid w:val="00856EC7"/>
    <w:rsid w:val="00861D0E"/>
    <w:rsid w:val="00862633"/>
    <w:rsid w:val="008648A3"/>
    <w:rsid w:val="00864E24"/>
    <w:rsid w:val="00865856"/>
    <w:rsid w:val="00872E13"/>
    <w:rsid w:val="0087655E"/>
    <w:rsid w:val="0087709D"/>
    <w:rsid w:val="00882ADF"/>
    <w:rsid w:val="00884327"/>
    <w:rsid w:val="00884660"/>
    <w:rsid w:val="008850FB"/>
    <w:rsid w:val="00886BB3"/>
    <w:rsid w:val="00887C3F"/>
    <w:rsid w:val="00890AE9"/>
    <w:rsid w:val="00891E89"/>
    <w:rsid w:val="008A0225"/>
    <w:rsid w:val="008A14BB"/>
    <w:rsid w:val="008A1BF1"/>
    <w:rsid w:val="008A3215"/>
    <w:rsid w:val="008A3B4B"/>
    <w:rsid w:val="008A5AE1"/>
    <w:rsid w:val="008B0FED"/>
    <w:rsid w:val="008B12BB"/>
    <w:rsid w:val="008B2007"/>
    <w:rsid w:val="008B219E"/>
    <w:rsid w:val="008B319C"/>
    <w:rsid w:val="008B42CA"/>
    <w:rsid w:val="008B7036"/>
    <w:rsid w:val="008C2C66"/>
    <w:rsid w:val="008C542A"/>
    <w:rsid w:val="008C6733"/>
    <w:rsid w:val="008C7422"/>
    <w:rsid w:val="008C789C"/>
    <w:rsid w:val="008C7DF1"/>
    <w:rsid w:val="008D0240"/>
    <w:rsid w:val="008D16A1"/>
    <w:rsid w:val="008D16E2"/>
    <w:rsid w:val="008D1DB5"/>
    <w:rsid w:val="008D3759"/>
    <w:rsid w:val="008D5762"/>
    <w:rsid w:val="008D6328"/>
    <w:rsid w:val="008D6873"/>
    <w:rsid w:val="008D6FBD"/>
    <w:rsid w:val="008E1240"/>
    <w:rsid w:val="008E131E"/>
    <w:rsid w:val="008E2A61"/>
    <w:rsid w:val="008F0B37"/>
    <w:rsid w:val="008F10D1"/>
    <w:rsid w:val="008F1EC6"/>
    <w:rsid w:val="008F2132"/>
    <w:rsid w:val="008F52B3"/>
    <w:rsid w:val="008F7436"/>
    <w:rsid w:val="008F79B7"/>
    <w:rsid w:val="00901F8C"/>
    <w:rsid w:val="00902941"/>
    <w:rsid w:val="00903E35"/>
    <w:rsid w:val="00907545"/>
    <w:rsid w:val="0091031B"/>
    <w:rsid w:val="00911849"/>
    <w:rsid w:val="00915107"/>
    <w:rsid w:val="00916687"/>
    <w:rsid w:val="00916EB2"/>
    <w:rsid w:val="0092013B"/>
    <w:rsid w:val="00921DC0"/>
    <w:rsid w:val="009252B8"/>
    <w:rsid w:val="0092588F"/>
    <w:rsid w:val="0092672B"/>
    <w:rsid w:val="009332A7"/>
    <w:rsid w:val="009420C4"/>
    <w:rsid w:val="00944EE3"/>
    <w:rsid w:val="009456F5"/>
    <w:rsid w:val="00946B4B"/>
    <w:rsid w:val="00946FD9"/>
    <w:rsid w:val="0095005E"/>
    <w:rsid w:val="00950201"/>
    <w:rsid w:val="0095059C"/>
    <w:rsid w:val="00953BBF"/>
    <w:rsid w:val="00954C24"/>
    <w:rsid w:val="00955C69"/>
    <w:rsid w:val="00955EA8"/>
    <w:rsid w:val="00957E14"/>
    <w:rsid w:val="00960903"/>
    <w:rsid w:val="00960D76"/>
    <w:rsid w:val="00960F7D"/>
    <w:rsid w:val="00962705"/>
    <w:rsid w:val="00962A4D"/>
    <w:rsid w:val="00966734"/>
    <w:rsid w:val="0097187E"/>
    <w:rsid w:val="009801BA"/>
    <w:rsid w:val="0098212D"/>
    <w:rsid w:val="0098763F"/>
    <w:rsid w:val="00990498"/>
    <w:rsid w:val="00990B70"/>
    <w:rsid w:val="0099247A"/>
    <w:rsid w:val="00992FFF"/>
    <w:rsid w:val="00996039"/>
    <w:rsid w:val="00997EBE"/>
    <w:rsid w:val="009A00D3"/>
    <w:rsid w:val="009A07C7"/>
    <w:rsid w:val="009A1C4A"/>
    <w:rsid w:val="009A26EC"/>
    <w:rsid w:val="009A521F"/>
    <w:rsid w:val="009A5C33"/>
    <w:rsid w:val="009A5EDC"/>
    <w:rsid w:val="009B1199"/>
    <w:rsid w:val="009B11A5"/>
    <w:rsid w:val="009B1BD1"/>
    <w:rsid w:val="009B26B2"/>
    <w:rsid w:val="009B4E00"/>
    <w:rsid w:val="009B5647"/>
    <w:rsid w:val="009B7DA2"/>
    <w:rsid w:val="009C1CDF"/>
    <w:rsid w:val="009C358E"/>
    <w:rsid w:val="009C3762"/>
    <w:rsid w:val="009C4D56"/>
    <w:rsid w:val="009C78BF"/>
    <w:rsid w:val="009D1180"/>
    <w:rsid w:val="009D1AA5"/>
    <w:rsid w:val="009D25C4"/>
    <w:rsid w:val="009D3C3E"/>
    <w:rsid w:val="009D58D4"/>
    <w:rsid w:val="009E470B"/>
    <w:rsid w:val="009E4CF0"/>
    <w:rsid w:val="009E6937"/>
    <w:rsid w:val="009E7BBF"/>
    <w:rsid w:val="009F077B"/>
    <w:rsid w:val="009F0AE3"/>
    <w:rsid w:val="009F1573"/>
    <w:rsid w:val="009F4F44"/>
    <w:rsid w:val="009F63C5"/>
    <w:rsid w:val="00A016EA"/>
    <w:rsid w:val="00A01F2A"/>
    <w:rsid w:val="00A02266"/>
    <w:rsid w:val="00A03F96"/>
    <w:rsid w:val="00A07089"/>
    <w:rsid w:val="00A10ACD"/>
    <w:rsid w:val="00A15B02"/>
    <w:rsid w:val="00A16D14"/>
    <w:rsid w:val="00A16F8A"/>
    <w:rsid w:val="00A17AA1"/>
    <w:rsid w:val="00A21BA5"/>
    <w:rsid w:val="00A2317F"/>
    <w:rsid w:val="00A24FC2"/>
    <w:rsid w:val="00A25C42"/>
    <w:rsid w:val="00A30B31"/>
    <w:rsid w:val="00A312E6"/>
    <w:rsid w:val="00A34754"/>
    <w:rsid w:val="00A40891"/>
    <w:rsid w:val="00A40A3F"/>
    <w:rsid w:val="00A419BD"/>
    <w:rsid w:val="00A43EBA"/>
    <w:rsid w:val="00A462C8"/>
    <w:rsid w:val="00A54888"/>
    <w:rsid w:val="00A56F7E"/>
    <w:rsid w:val="00A637C7"/>
    <w:rsid w:val="00A65FE8"/>
    <w:rsid w:val="00A66E77"/>
    <w:rsid w:val="00A67106"/>
    <w:rsid w:val="00A71322"/>
    <w:rsid w:val="00A71395"/>
    <w:rsid w:val="00A71487"/>
    <w:rsid w:val="00A742EE"/>
    <w:rsid w:val="00A8082C"/>
    <w:rsid w:val="00A8100E"/>
    <w:rsid w:val="00A84439"/>
    <w:rsid w:val="00A8769E"/>
    <w:rsid w:val="00A90151"/>
    <w:rsid w:val="00A911FE"/>
    <w:rsid w:val="00A91615"/>
    <w:rsid w:val="00A9299F"/>
    <w:rsid w:val="00A95AE3"/>
    <w:rsid w:val="00A95BD9"/>
    <w:rsid w:val="00A972F5"/>
    <w:rsid w:val="00AA1CB5"/>
    <w:rsid w:val="00AA41E7"/>
    <w:rsid w:val="00AA459E"/>
    <w:rsid w:val="00AA4A3B"/>
    <w:rsid w:val="00AA5602"/>
    <w:rsid w:val="00AB0DA1"/>
    <w:rsid w:val="00AB2926"/>
    <w:rsid w:val="00AB58A6"/>
    <w:rsid w:val="00AB7114"/>
    <w:rsid w:val="00AC0985"/>
    <w:rsid w:val="00AC0DB7"/>
    <w:rsid w:val="00AC2C1C"/>
    <w:rsid w:val="00AC3FF8"/>
    <w:rsid w:val="00AD09E9"/>
    <w:rsid w:val="00AD439B"/>
    <w:rsid w:val="00AD4E46"/>
    <w:rsid w:val="00AE0AE8"/>
    <w:rsid w:val="00AE10E4"/>
    <w:rsid w:val="00AE26BA"/>
    <w:rsid w:val="00AE296E"/>
    <w:rsid w:val="00AE3AE6"/>
    <w:rsid w:val="00AE6A2E"/>
    <w:rsid w:val="00AF1D33"/>
    <w:rsid w:val="00AF357D"/>
    <w:rsid w:val="00AF40FC"/>
    <w:rsid w:val="00AF6A59"/>
    <w:rsid w:val="00B013B8"/>
    <w:rsid w:val="00B06C61"/>
    <w:rsid w:val="00B07C82"/>
    <w:rsid w:val="00B10F27"/>
    <w:rsid w:val="00B13F10"/>
    <w:rsid w:val="00B21740"/>
    <w:rsid w:val="00B24866"/>
    <w:rsid w:val="00B27FCD"/>
    <w:rsid w:val="00B30718"/>
    <w:rsid w:val="00B31404"/>
    <w:rsid w:val="00B3219B"/>
    <w:rsid w:val="00B340AE"/>
    <w:rsid w:val="00B36E4A"/>
    <w:rsid w:val="00B36EBE"/>
    <w:rsid w:val="00B371AB"/>
    <w:rsid w:val="00B4348A"/>
    <w:rsid w:val="00B44146"/>
    <w:rsid w:val="00B45314"/>
    <w:rsid w:val="00B51A2B"/>
    <w:rsid w:val="00B5271A"/>
    <w:rsid w:val="00B54042"/>
    <w:rsid w:val="00B540BE"/>
    <w:rsid w:val="00B552A5"/>
    <w:rsid w:val="00B55308"/>
    <w:rsid w:val="00B55721"/>
    <w:rsid w:val="00B55BCA"/>
    <w:rsid w:val="00B56EDC"/>
    <w:rsid w:val="00B60380"/>
    <w:rsid w:val="00B610FB"/>
    <w:rsid w:val="00B6352F"/>
    <w:rsid w:val="00B65C8A"/>
    <w:rsid w:val="00B67B73"/>
    <w:rsid w:val="00B67EEC"/>
    <w:rsid w:val="00B701CB"/>
    <w:rsid w:val="00B709C8"/>
    <w:rsid w:val="00B740C3"/>
    <w:rsid w:val="00B7633F"/>
    <w:rsid w:val="00B81A10"/>
    <w:rsid w:val="00B81E5C"/>
    <w:rsid w:val="00B82E7A"/>
    <w:rsid w:val="00B8653E"/>
    <w:rsid w:val="00B90B30"/>
    <w:rsid w:val="00B91EC4"/>
    <w:rsid w:val="00B94985"/>
    <w:rsid w:val="00B967B4"/>
    <w:rsid w:val="00BA64DF"/>
    <w:rsid w:val="00BA659D"/>
    <w:rsid w:val="00BA760D"/>
    <w:rsid w:val="00BB00F0"/>
    <w:rsid w:val="00BB036F"/>
    <w:rsid w:val="00BB1196"/>
    <w:rsid w:val="00BB1D17"/>
    <w:rsid w:val="00BB330A"/>
    <w:rsid w:val="00BB5B97"/>
    <w:rsid w:val="00BB7AF4"/>
    <w:rsid w:val="00BC1C89"/>
    <w:rsid w:val="00BD39CE"/>
    <w:rsid w:val="00BD5F30"/>
    <w:rsid w:val="00BD5FF1"/>
    <w:rsid w:val="00BE1A8A"/>
    <w:rsid w:val="00BE2DDF"/>
    <w:rsid w:val="00BE3D27"/>
    <w:rsid w:val="00BE5215"/>
    <w:rsid w:val="00BE794F"/>
    <w:rsid w:val="00BF4071"/>
    <w:rsid w:val="00BF5B16"/>
    <w:rsid w:val="00C0069B"/>
    <w:rsid w:val="00C022A4"/>
    <w:rsid w:val="00C02CD2"/>
    <w:rsid w:val="00C04712"/>
    <w:rsid w:val="00C10C12"/>
    <w:rsid w:val="00C12342"/>
    <w:rsid w:val="00C13E12"/>
    <w:rsid w:val="00C14F91"/>
    <w:rsid w:val="00C166CE"/>
    <w:rsid w:val="00C17FD0"/>
    <w:rsid w:val="00C210E9"/>
    <w:rsid w:val="00C22079"/>
    <w:rsid w:val="00C24415"/>
    <w:rsid w:val="00C26061"/>
    <w:rsid w:val="00C275F6"/>
    <w:rsid w:val="00C3055E"/>
    <w:rsid w:val="00C32EE2"/>
    <w:rsid w:val="00C330DD"/>
    <w:rsid w:val="00C3417B"/>
    <w:rsid w:val="00C35E0E"/>
    <w:rsid w:val="00C35F84"/>
    <w:rsid w:val="00C44E51"/>
    <w:rsid w:val="00C47213"/>
    <w:rsid w:val="00C531A1"/>
    <w:rsid w:val="00C5378B"/>
    <w:rsid w:val="00C54BD5"/>
    <w:rsid w:val="00C55791"/>
    <w:rsid w:val="00C56178"/>
    <w:rsid w:val="00C5795D"/>
    <w:rsid w:val="00C615AD"/>
    <w:rsid w:val="00C615BE"/>
    <w:rsid w:val="00C62411"/>
    <w:rsid w:val="00C62C56"/>
    <w:rsid w:val="00C62D20"/>
    <w:rsid w:val="00C64445"/>
    <w:rsid w:val="00C6627E"/>
    <w:rsid w:val="00C6777F"/>
    <w:rsid w:val="00C75834"/>
    <w:rsid w:val="00C81248"/>
    <w:rsid w:val="00C81AC5"/>
    <w:rsid w:val="00C8275A"/>
    <w:rsid w:val="00C8407A"/>
    <w:rsid w:val="00C85AE8"/>
    <w:rsid w:val="00C878FC"/>
    <w:rsid w:val="00C90B10"/>
    <w:rsid w:val="00C94416"/>
    <w:rsid w:val="00C944C3"/>
    <w:rsid w:val="00CA1FE7"/>
    <w:rsid w:val="00CA30A6"/>
    <w:rsid w:val="00CB0E99"/>
    <w:rsid w:val="00CB23AD"/>
    <w:rsid w:val="00CB36B5"/>
    <w:rsid w:val="00CB5726"/>
    <w:rsid w:val="00CC0AF8"/>
    <w:rsid w:val="00CC1A8D"/>
    <w:rsid w:val="00CC456A"/>
    <w:rsid w:val="00CC51F2"/>
    <w:rsid w:val="00CD267F"/>
    <w:rsid w:val="00CD4414"/>
    <w:rsid w:val="00CD57AD"/>
    <w:rsid w:val="00CD5B77"/>
    <w:rsid w:val="00CD71F5"/>
    <w:rsid w:val="00CD778D"/>
    <w:rsid w:val="00CE2CE4"/>
    <w:rsid w:val="00CE31D7"/>
    <w:rsid w:val="00CE3200"/>
    <w:rsid w:val="00CE5195"/>
    <w:rsid w:val="00CE5244"/>
    <w:rsid w:val="00CE5251"/>
    <w:rsid w:val="00CE5416"/>
    <w:rsid w:val="00CE757D"/>
    <w:rsid w:val="00CF2264"/>
    <w:rsid w:val="00CF7028"/>
    <w:rsid w:val="00D026C6"/>
    <w:rsid w:val="00D04DB8"/>
    <w:rsid w:val="00D04F72"/>
    <w:rsid w:val="00D07004"/>
    <w:rsid w:val="00D12341"/>
    <w:rsid w:val="00D12F4C"/>
    <w:rsid w:val="00D15F5F"/>
    <w:rsid w:val="00D2040B"/>
    <w:rsid w:val="00D30671"/>
    <w:rsid w:val="00D30A68"/>
    <w:rsid w:val="00D319CD"/>
    <w:rsid w:val="00D321A0"/>
    <w:rsid w:val="00D330A6"/>
    <w:rsid w:val="00D3328D"/>
    <w:rsid w:val="00D40C61"/>
    <w:rsid w:val="00D41658"/>
    <w:rsid w:val="00D4219A"/>
    <w:rsid w:val="00D427D5"/>
    <w:rsid w:val="00D43116"/>
    <w:rsid w:val="00D43813"/>
    <w:rsid w:val="00D45001"/>
    <w:rsid w:val="00D45644"/>
    <w:rsid w:val="00D47BA5"/>
    <w:rsid w:val="00D52ECE"/>
    <w:rsid w:val="00D56D05"/>
    <w:rsid w:val="00D56E7E"/>
    <w:rsid w:val="00D574EB"/>
    <w:rsid w:val="00D61BC8"/>
    <w:rsid w:val="00D62DD6"/>
    <w:rsid w:val="00D63A3C"/>
    <w:rsid w:val="00D63F41"/>
    <w:rsid w:val="00D6506C"/>
    <w:rsid w:val="00D655FA"/>
    <w:rsid w:val="00D74B9D"/>
    <w:rsid w:val="00D752F3"/>
    <w:rsid w:val="00D82D70"/>
    <w:rsid w:val="00D8460D"/>
    <w:rsid w:val="00D908F6"/>
    <w:rsid w:val="00D90D81"/>
    <w:rsid w:val="00D91776"/>
    <w:rsid w:val="00D91A67"/>
    <w:rsid w:val="00D92F08"/>
    <w:rsid w:val="00D97F2C"/>
    <w:rsid w:val="00DA1C4D"/>
    <w:rsid w:val="00DA1F55"/>
    <w:rsid w:val="00DA490B"/>
    <w:rsid w:val="00DA50D5"/>
    <w:rsid w:val="00DA62AC"/>
    <w:rsid w:val="00DB2334"/>
    <w:rsid w:val="00DB2380"/>
    <w:rsid w:val="00DB2B50"/>
    <w:rsid w:val="00DB3348"/>
    <w:rsid w:val="00DB68DE"/>
    <w:rsid w:val="00DC0DAA"/>
    <w:rsid w:val="00DC22BC"/>
    <w:rsid w:val="00DC42F7"/>
    <w:rsid w:val="00DC68E8"/>
    <w:rsid w:val="00DD1BDB"/>
    <w:rsid w:val="00DD53DF"/>
    <w:rsid w:val="00DE054C"/>
    <w:rsid w:val="00DE23A1"/>
    <w:rsid w:val="00DE6457"/>
    <w:rsid w:val="00DE6E48"/>
    <w:rsid w:val="00DE779B"/>
    <w:rsid w:val="00DE791A"/>
    <w:rsid w:val="00DE7E5D"/>
    <w:rsid w:val="00DF04CB"/>
    <w:rsid w:val="00DF17E9"/>
    <w:rsid w:val="00DF2A92"/>
    <w:rsid w:val="00DF2DA8"/>
    <w:rsid w:val="00DF3E1B"/>
    <w:rsid w:val="00DF3FB5"/>
    <w:rsid w:val="00DF4201"/>
    <w:rsid w:val="00DF6041"/>
    <w:rsid w:val="00DF69A4"/>
    <w:rsid w:val="00DF705F"/>
    <w:rsid w:val="00DF7260"/>
    <w:rsid w:val="00E00127"/>
    <w:rsid w:val="00E05D99"/>
    <w:rsid w:val="00E070A2"/>
    <w:rsid w:val="00E105C4"/>
    <w:rsid w:val="00E10A3F"/>
    <w:rsid w:val="00E10BA8"/>
    <w:rsid w:val="00E16F93"/>
    <w:rsid w:val="00E200FB"/>
    <w:rsid w:val="00E21B4A"/>
    <w:rsid w:val="00E23318"/>
    <w:rsid w:val="00E25D87"/>
    <w:rsid w:val="00E2649F"/>
    <w:rsid w:val="00E27FAD"/>
    <w:rsid w:val="00E3337A"/>
    <w:rsid w:val="00E34AAA"/>
    <w:rsid w:val="00E35A99"/>
    <w:rsid w:val="00E40B44"/>
    <w:rsid w:val="00E433A3"/>
    <w:rsid w:val="00E4696A"/>
    <w:rsid w:val="00E47BE0"/>
    <w:rsid w:val="00E55A19"/>
    <w:rsid w:val="00E56688"/>
    <w:rsid w:val="00E56D50"/>
    <w:rsid w:val="00E63AFB"/>
    <w:rsid w:val="00E6407D"/>
    <w:rsid w:val="00E64900"/>
    <w:rsid w:val="00E6512B"/>
    <w:rsid w:val="00E6574E"/>
    <w:rsid w:val="00E65D9D"/>
    <w:rsid w:val="00E71358"/>
    <w:rsid w:val="00E720D9"/>
    <w:rsid w:val="00E7270A"/>
    <w:rsid w:val="00E73ACD"/>
    <w:rsid w:val="00E74A7F"/>
    <w:rsid w:val="00E7566B"/>
    <w:rsid w:val="00E76917"/>
    <w:rsid w:val="00E76AED"/>
    <w:rsid w:val="00E84818"/>
    <w:rsid w:val="00E86052"/>
    <w:rsid w:val="00E873EF"/>
    <w:rsid w:val="00E90745"/>
    <w:rsid w:val="00E94051"/>
    <w:rsid w:val="00E96ADD"/>
    <w:rsid w:val="00E97237"/>
    <w:rsid w:val="00EA0063"/>
    <w:rsid w:val="00EA7001"/>
    <w:rsid w:val="00EA7B17"/>
    <w:rsid w:val="00EB079F"/>
    <w:rsid w:val="00EB0EE6"/>
    <w:rsid w:val="00EB588E"/>
    <w:rsid w:val="00EB7572"/>
    <w:rsid w:val="00EC2E7C"/>
    <w:rsid w:val="00EC2F5F"/>
    <w:rsid w:val="00EC2FD2"/>
    <w:rsid w:val="00EC3E37"/>
    <w:rsid w:val="00EC66DE"/>
    <w:rsid w:val="00EC78A5"/>
    <w:rsid w:val="00ED79B6"/>
    <w:rsid w:val="00EE14AF"/>
    <w:rsid w:val="00EE175F"/>
    <w:rsid w:val="00EF13C4"/>
    <w:rsid w:val="00EF2AC7"/>
    <w:rsid w:val="00EF7B90"/>
    <w:rsid w:val="00F01744"/>
    <w:rsid w:val="00F01DFC"/>
    <w:rsid w:val="00F0229E"/>
    <w:rsid w:val="00F025F0"/>
    <w:rsid w:val="00F10436"/>
    <w:rsid w:val="00F14FDE"/>
    <w:rsid w:val="00F16431"/>
    <w:rsid w:val="00F203C2"/>
    <w:rsid w:val="00F2323A"/>
    <w:rsid w:val="00F242CA"/>
    <w:rsid w:val="00F249B1"/>
    <w:rsid w:val="00F26827"/>
    <w:rsid w:val="00F26953"/>
    <w:rsid w:val="00F27AE4"/>
    <w:rsid w:val="00F31C6E"/>
    <w:rsid w:val="00F3288B"/>
    <w:rsid w:val="00F32CB4"/>
    <w:rsid w:val="00F3663A"/>
    <w:rsid w:val="00F37DBB"/>
    <w:rsid w:val="00F41395"/>
    <w:rsid w:val="00F41737"/>
    <w:rsid w:val="00F42A53"/>
    <w:rsid w:val="00F46D10"/>
    <w:rsid w:val="00F4711F"/>
    <w:rsid w:val="00F506D8"/>
    <w:rsid w:val="00F5185B"/>
    <w:rsid w:val="00F522CD"/>
    <w:rsid w:val="00F52B20"/>
    <w:rsid w:val="00F547AE"/>
    <w:rsid w:val="00F54E67"/>
    <w:rsid w:val="00F55061"/>
    <w:rsid w:val="00F5509C"/>
    <w:rsid w:val="00F55ABC"/>
    <w:rsid w:val="00F5635C"/>
    <w:rsid w:val="00F56A8C"/>
    <w:rsid w:val="00F6002B"/>
    <w:rsid w:val="00F60963"/>
    <w:rsid w:val="00F646C5"/>
    <w:rsid w:val="00F64B79"/>
    <w:rsid w:val="00F64BF2"/>
    <w:rsid w:val="00F66E00"/>
    <w:rsid w:val="00F6770D"/>
    <w:rsid w:val="00F67D79"/>
    <w:rsid w:val="00F67EED"/>
    <w:rsid w:val="00F67F3A"/>
    <w:rsid w:val="00F67F57"/>
    <w:rsid w:val="00F70526"/>
    <w:rsid w:val="00F85121"/>
    <w:rsid w:val="00F9140D"/>
    <w:rsid w:val="00F92D56"/>
    <w:rsid w:val="00F93CD6"/>
    <w:rsid w:val="00F94470"/>
    <w:rsid w:val="00F959DB"/>
    <w:rsid w:val="00F97C0C"/>
    <w:rsid w:val="00FA2042"/>
    <w:rsid w:val="00FA7B2D"/>
    <w:rsid w:val="00FB4A58"/>
    <w:rsid w:val="00FB524A"/>
    <w:rsid w:val="00FB560E"/>
    <w:rsid w:val="00FB56EE"/>
    <w:rsid w:val="00FB5D97"/>
    <w:rsid w:val="00FB644E"/>
    <w:rsid w:val="00FB747A"/>
    <w:rsid w:val="00FC0C52"/>
    <w:rsid w:val="00FC1A0F"/>
    <w:rsid w:val="00FC1B2D"/>
    <w:rsid w:val="00FC3032"/>
    <w:rsid w:val="00FC4DBA"/>
    <w:rsid w:val="00FC6ECF"/>
    <w:rsid w:val="00FD1AE5"/>
    <w:rsid w:val="00FD2632"/>
    <w:rsid w:val="00FD3141"/>
    <w:rsid w:val="00FD60DA"/>
    <w:rsid w:val="00FD6C7A"/>
    <w:rsid w:val="00FD6FC4"/>
    <w:rsid w:val="00FE0740"/>
    <w:rsid w:val="00FE07F2"/>
    <w:rsid w:val="00FE148C"/>
    <w:rsid w:val="00FE1A5E"/>
    <w:rsid w:val="00FE40D7"/>
    <w:rsid w:val="00FE452A"/>
    <w:rsid w:val="00FE7CA8"/>
    <w:rsid w:val="00FF02A9"/>
    <w:rsid w:val="00FF2C5D"/>
    <w:rsid w:val="00FF2F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1C6C6"/>
  <w15:chartTrackingRefBased/>
  <w15:docId w15:val="{BF89CF75-D3FA-6F49-ACAC-5CE109A6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B90B30"/>
    <w:pPr>
      <w:spacing w:before="100" w:beforeAutospacing="1" w:after="100" w:afterAutospacing="1"/>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B90B30"/>
    <w:pPr>
      <w:spacing w:before="100" w:beforeAutospacing="1" w:after="100" w:afterAutospacing="1"/>
      <w:outlineLvl w:val="1"/>
    </w:pPr>
    <w:rPr>
      <w:rFonts w:ascii="Times New Roman" w:eastAsia="Times New Roman" w:hAnsi="Times New Roman" w:cs="Times New Roman"/>
      <w:b/>
      <w:bCs/>
      <w:kern w:val="0"/>
      <w:sz w:val="36"/>
      <w:szCs w:val="36"/>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basedOn w:val="Normalny"/>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basedOn w:val="Normalny"/>
    <w:uiPriority w:val="34"/>
    <w:qFormat/>
    <w:rsid w:val="008031A6"/>
    <w:pPr>
      <w:spacing w:after="160" w:line="278" w:lineRule="auto"/>
      <w:ind w:left="720"/>
      <w:contextualSpacing/>
    </w:pPr>
  </w:style>
  <w:style w:type="paragraph" w:styleId="NormalnyWeb">
    <w:name w:val="Normal (Web)"/>
    <w:basedOn w:val="Normalny"/>
    <w:uiPriority w:val="99"/>
    <w:unhideWhenUsed/>
    <w:rsid w:val="00A9299F"/>
    <w:rPr>
      <w:rFonts w:ascii="Times New Roman" w:hAnsi="Times New Roman" w:cs="Times New Roman"/>
    </w:rPr>
  </w:style>
  <w:style w:type="paragraph" w:customStyle="1" w:styleId="xxmsolistparagraph">
    <w:name w:val="x_xmsolistparagraph"/>
    <w:basedOn w:val="Normalny"/>
    <w:rsid w:val="00C14F91"/>
    <w:pPr>
      <w:ind w:left="720"/>
    </w:pPr>
    <w:rPr>
      <w:rFonts w:ascii="Aptos" w:hAnsi="Aptos" w:cs="Calibri"/>
      <w:kern w:val="0"/>
      <w:lang w:eastAsia="pl-PL"/>
      <w14:ligatures w14:val="none"/>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basedOn w:val="Normalny"/>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basedOn w:val="Normalny"/>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 w:type="character" w:customStyle="1" w:styleId="Nagwek1Znak">
    <w:name w:val="Nagłówek 1 Znak"/>
    <w:basedOn w:val="Domylnaczcionkaakapitu"/>
    <w:link w:val="Nagwek1"/>
    <w:uiPriority w:val="9"/>
    <w:rsid w:val="00B90B3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B90B30"/>
    <w:rPr>
      <w:rFonts w:ascii="Times New Roman" w:eastAsia="Times New Roman" w:hAnsi="Times New Roman" w:cs="Times New Roman"/>
      <w:b/>
      <w:bCs/>
      <w:kern w:val="0"/>
      <w:sz w:val="36"/>
      <w:szCs w:val="36"/>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6476">
      <w:bodyDiv w:val="1"/>
      <w:marLeft w:val="0"/>
      <w:marRight w:val="0"/>
      <w:marTop w:val="0"/>
      <w:marBottom w:val="0"/>
      <w:divBdr>
        <w:top w:val="none" w:sz="0" w:space="0" w:color="auto"/>
        <w:left w:val="none" w:sz="0" w:space="0" w:color="auto"/>
        <w:bottom w:val="none" w:sz="0" w:space="0" w:color="auto"/>
        <w:right w:val="none" w:sz="0" w:space="0" w:color="auto"/>
      </w:divBdr>
    </w:div>
    <w:div w:id="10425035">
      <w:bodyDiv w:val="1"/>
      <w:marLeft w:val="0"/>
      <w:marRight w:val="0"/>
      <w:marTop w:val="0"/>
      <w:marBottom w:val="0"/>
      <w:divBdr>
        <w:top w:val="none" w:sz="0" w:space="0" w:color="auto"/>
        <w:left w:val="none" w:sz="0" w:space="0" w:color="auto"/>
        <w:bottom w:val="none" w:sz="0" w:space="0" w:color="auto"/>
        <w:right w:val="none" w:sz="0" w:space="0" w:color="auto"/>
      </w:divBdr>
    </w:div>
    <w:div w:id="128019383">
      <w:bodyDiv w:val="1"/>
      <w:marLeft w:val="0"/>
      <w:marRight w:val="0"/>
      <w:marTop w:val="0"/>
      <w:marBottom w:val="0"/>
      <w:divBdr>
        <w:top w:val="none" w:sz="0" w:space="0" w:color="auto"/>
        <w:left w:val="none" w:sz="0" w:space="0" w:color="auto"/>
        <w:bottom w:val="none" w:sz="0" w:space="0" w:color="auto"/>
        <w:right w:val="none" w:sz="0" w:space="0" w:color="auto"/>
      </w:divBdr>
    </w:div>
    <w:div w:id="162279378">
      <w:bodyDiv w:val="1"/>
      <w:marLeft w:val="0"/>
      <w:marRight w:val="0"/>
      <w:marTop w:val="0"/>
      <w:marBottom w:val="0"/>
      <w:divBdr>
        <w:top w:val="none" w:sz="0" w:space="0" w:color="auto"/>
        <w:left w:val="none" w:sz="0" w:space="0" w:color="auto"/>
        <w:bottom w:val="none" w:sz="0" w:space="0" w:color="auto"/>
        <w:right w:val="none" w:sz="0" w:space="0" w:color="auto"/>
      </w:divBdr>
      <w:divsChild>
        <w:div w:id="344596489">
          <w:marLeft w:val="0"/>
          <w:marRight w:val="0"/>
          <w:marTop w:val="0"/>
          <w:marBottom w:val="0"/>
          <w:divBdr>
            <w:top w:val="none" w:sz="0" w:space="0" w:color="auto"/>
            <w:left w:val="none" w:sz="0" w:space="0" w:color="auto"/>
            <w:bottom w:val="none" w:sz="0" w:space="0" w:color="auto"/>
            <w:right w:val="none" w:sz="0" w:space="0" w:color="auto"/>
          </w:divBdr>
          <w:divsChild>
            <w:div w:id="1355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1594">
      <w:bodyDiv w:val="1"/>
      <w:marLeft w:val="0"/>
      <w:marRight w:val="0"/>
      <w:marTop w:val="0"/>
      <w:marBottom w:val="0"/>
      <w:divBdr>
        <w:top w:val="none" w:sz="0" w:space="0" w:color="auto"/>
        <w:left w:val="none" w:sz="0" w:space="0" w:color="auto"/>
        <w:bottom w:val="none" w:sz="0" w:space="0" w:color="auto"/>
        <w:right w:val="none" w:sz="0" w:space="0" w:color="auto"/>
      </w:divBdr>
    </w:div>
    <w:div w:id="277033665">
      <w:bodyDiv w:val="1"/>
      <w:marLeft w:val="0"/>
      <w:marRight w:val="0"/>
      <w:marTop w:val="0"/>
      <w:marBottom w:val="0"/>
      <w:divBdr>
        <w:top w:val="none" w:sz="0" w:space="0" w:color="auto"/>
        <w:left w:val="none" w:sz="0" w:space="0" w:color="auto"/>
        <w:bottom w:val="none" w:sz="0" w:space="0" w:color="auto"/>
        <w:right w:val="none" w:sz="0" w:space="0" w:color="auto"/>
      </w:divBdr>
    </w:div>
    <w:div w:id="288557924">
      <w:bodyDiv w:val="1"/>
      <w:marLeft w:val="0"/>
      <w:marRight w:val="0"/>
      <w:marTop w:val="0"/>
      <w:marBottom w:val="0"/>
      <w:divBdr>
        <w:top w:val="none" w:sz="0" w:space="0" w:color="auto"/>
        <w:left w:val="none" w:sz="0" w:space="0" w:color="auto"/>
        <w:bottom w:val="none" w:sz="0" w:space="0" w:color="auto"/>
        <w:right w:val="none" w:sz="0" w:space="0" w:color="auto"/>
      </w:divBdr>
    </w:div>
    <w:div w:id="371686013">
      <w:bodyDiv w:val="1"/>
      <w:marLeft w:val="0"/>
      <w:marRight w:val="0"/>
      <w:marTop w:val="0"/>
      <w:marBottom w:val="0"/>
      <w:divBdr>
        <w:top w:val="none" w:sz="0" w:space="0" w:color="auto"/>
        <w:left w:val="none" w:sz="0" w:space="0" w:color="auto"/>
        <w:bottom w:val="none" w:sz="0" w:space="0" w:color="auto"/>
        <w:right w:val="none" w:sz="0" w:space="0" w:color="auto"/>
      </w:divBdr>
    </w:div>
    <w:div w:id="373162367">
      <w:bodyDiv w:val="1"/>
      <w:marLeft w:val="0"/>
      <w:marRight w:val="0"/>
      <w:marTop w:val="0"/>
      <w:marBottom w:val="0"/>
      <w:divBdr>
        <w:top w:val="none" w:sz="0" w:space="0" w:color="auto"/>
        <w:left w:val="none" w:sz="0" w:space="0" w:color="auto"/>
        <w:bottom w:val="none" w:sz="0" w:space="0" w:color="auto"/>
        <w:right w:val="none" w:sz="0" w:space="0" w:color="auto"/>
      </w:divBdr>
    </w:div>
    <w:div w:id="379331996">
      <w:bodyDiv w:val="1"/>
      <w:marLeft w:val="0"/>
      <w:marRight w:val="0"/>
      <w:marTop w:val="0"/>
      <w:marBottom w:val="0"/>
      <w:divBdr>
        <w:top w:val="none" w:sz="0" w:space="0" w:color="auto"/>
        <w:left w:val="none" w:sz="0" w:space="0" w:color="auto"/>
        <w:bottom w:val="none" w:sz="0" w:space="0" w:color="auto"/>
        <w:right w:val="none" w:sz="0" w:space="0" w:color="auto"/>
      </w:divBdr>
      <w:divsChild>
        <w:div w:id="2100901671">
          <w:marLeft w:val="0"/>
          <w:marRight w:val="0"/>
          <w:marTop w:val="0"/>
          <w:marBottom w:val="0"/>
          <w:divBdr>
            <w:top w:val="none" w:sz="0" w:space="0" w:color="auto"/>
            <w:left w:val="none" w:sz="0" w:space="0" w:color="auto"/>
            <w:bottom w:val="none" w:sz="0" w:space="0" w:color="auto"/>
            <w:right w:val="none" w:sz="0" w:space="0" w:color="auto"/>
          </w:divBdr>
          <w:divsChild>
            <w:div w:id="11602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5003">
      <w:bodyDiv w:val="1"/>
      <w:marLeft w:val="0"/>
      <w:marRight w:val="0"/>
      <w:marTop w:val="0"/>
      <w:marBottom w:val="0"/>
      <w:divBdr>
        <w:top w:val="none" w:sz="0" w:space="0" w:color="auto"/>
        <w:left w:val="none" w:sz="0" w:space="0" w:color="auto"/>
        <w:bottom w:val="none" w:sz="0" w:space="0" w:color="auto"/>
        <w:right w:val="none" w:sz="0" w:space="0" w:color="auto"/>
      </w:divBdr>
    </w:div>
    <w:div w:id="427391187">
      <w:bodyDiv w:val="1"/>
      <w:marLeft w:val="0"/>
      <w:marRight w:val="0"/>
      <w:marTop w:val="0"/>
      <w:marBottom w:val="0"/>
      <w:divBdr>
        <w:top w:val="none" w:sz="0" w:space="0" w:color="auto"/>
        <w:left w:val="none" w:sz="0" w:space="0" w:color="auto"/>
        <w:bottom w:val="none" w:sz="0" w:space="0" w:color="auto"/>
        <w:right w:val="none" w:sz="0" w:space="0" w:color="auto"/>
      </w:divBdr>
    </w:div>
    <w:div w:id="455875633">
      <w:bodyDiv w:val="1"/>
      <w:marLeft w:val="0"/>
      <w:marRight w:val="0"/>
      <w:marTop w:val="0"/>
      <w:marBottom w:val="0"/>
      <w:divBdr>
        <w:top w:val="none" w:sz="0" w:space="0" w:color="auto"/>
        <w:left w:val="none" w:sz="0" w:space="0" w:color="auto"/>
        <w:bottom w:val="none" w:sz="0" w:space="0" w:color="auto"/>
        <w:right w:val="none" w:sz="0" w:space="0" w:color="auto"/>
      </w:divBdr>
    </w:div>
    <w:div w:id="466238561">
      <w:bodyDiv w:val="1"/>
      <w:marLeft w:val="0"/>
      <w:marRight w:val="0"/>
      <w:marTop w:val="0"/>
      <w:marBottom w:val="0"/>
      <w:divBdr>
        <w:top w:val="none" w:sz="0" w:space="0" w:color="auto"/>
        <w:left w:val="none" w:sz="0" w:space="0" w:color="auto"/>
        <w:bottom w:val="none" w:sz="0" w:space="0" w:color="auto"/>
        <w:right w:val="none" w:sz="0" w:space="0" w:color="auto"/>
      </w:divBdr>
      <w:divsChild>
        <w:div w:id="62777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695072">
      <w:bodyDiv w:val="1"/>
      <w:marLeft w:val="0"/>
      <w:marRight w:val="0"/>
      <w:marTop w:val="0"/>
      <w:marBottom w:val="0"/>
      <w:divBdr>
        <w:top w:val="none" w:sz="0" w:space="0" w:color="auto"/>
        <w:left w:val="none" w:sz="0" w:space="0" w:color="auto"/>
        <w:bottom w:val="none" w:sz="0" w:space="0" w:color="auto"/>
        <w:right w:val="none" w:sz="0" w:space="0" w:color="auto"/>
      </w:divBdr>
    </w:div>
    <w:div w:id="492137537">
      <w:bodyDiv w:val="1"/>
      <w:marLeft w:val="0"/>
      <w:marRight w:val="0"/>
      <w:marTop w:val="0"/>
      <w:marBottom w:val="0"/>
      <w:divBdr>
        <w:top w:val="none" w:sz="0" w:space="0" w:color="auto"/>
        <w:left w:val="none" w:sz="0" w:space="0" w:color="auto"/>
        <w:bottom w:val="none" w:sz="0" w:space="0" w:color="auto"/>
        <w:right w:val="none" w:sz="0" w:space="0" w:color="auto"/>
      </w:divBdr>
      <w:divsChild>
        <w:div w:id="1953706645">
          <w:marLeft w:val="0"/>
          <w:marRight w:val="0"/>
          <w:marTop w:val="0"/>
          <w:marBottom w:val="0"/>
          <w:divBdr>
            <w:top w:val="none" w:sz="0" w:space="0" w:color="auto"/>
            <w:left w:val="none" w:sz="0" w:space="0" w:color="auto"/>
            <w:bottom w:val="none" w:sz="0" w:space="0" w:color="auto"/>
            <w:right w:val="none" w:sz="0" w:space="0" w:color="auto"/>
          </w:divBdr>
          <w:divsChild>
            <w:div w:id="1680113612">
              <w:marLeft w:val="0"/>
              <w:marRight w:val="0"/>
              <w:marTop w:val="0"/>
              <w:marBottom w:val="0"/>
              <w:divBdr>
                <w:top w:val="none" w:sz="0" w:space="0" w:color="auto"/>
                <w:left w:val="none" w:sz="0" w:space="0" w:color="auto"/>
                <w:bottom w:val="none" w:sz="0" w:space="0" w:color="auto"/>
                <w:right w:val="none" w:sz="0" w:space="0" w:color="auto"/>
              </w:divBdr>
              <w:divsChild>
                <w:div w:id="429475084">
                  <w:marLeft w:val="0"/>
                  <w:marRight w:val="0"/>
                  <w:marTop w:val="0"/>
                  <w:marBottom w:val="0"/>
                  <w:divBdr>
                    <w:top w:val="none" w:sz="0" w:space="0" w:color="auto"/>
                    <w:left w:val="none" w:sz="0" w:space="0" w:color="auto"/>
                    <w:bottom w:val="none" w:sz="0" w:space="0" w:color="auto"/>
                    <w:right w:val="none" w:sz="0" w:space="0" w:color="auto"/>
                  </w:divBdr>
                  <w:divsChild>
                    <w:div w:id="1919555870">
                      <w:marLeft w:val="0"/>
                      <w:marRight w:val="0"/>
                      <w:marTop w:val="0"/>
                      <w:marBottom w:val="0"/>
                      <w:divBdr>
                        <w:top w:val="none" w:sz="0" w:space="0" w:color="auto"/>
                        <w:left w:val="none" w:sz="0" w:space="0" w:color="auto"/>
                        <w:bottom w:val="none" w:sz="0" w:space="0" w:color="auto"/>
                        <w:right w:val="none" w:sz="0" w:space="0" w:color="auto"/>
                      </w:divBdr>
                      <w:divsChild>
                        <w:div w:id="3870340">
                          <w:marLeft w:val="0"/>
                          <w:marRight w:val="0"/>
                          <w:marTop w:val="0"/>
                          <w:marBottom w:val="0"/>
                          <w:divBdr>
                            <w:top w:val="none" w:sz="0" w:space="0" w:color="auto"/>
                            <w:left w:val="none" w:sz="0" w:space="0" w:color="auto"/>
                            <w:bottom w:val="none" w:sz="0" w:space="0" w:color="auto"/>
                            <w:right w:val="none" w:sz="0" w:space="0" w:color="auto"/>
                          </w:divBdr>
                          <w:divsChild>
                            <w:div w:id="2047026222">
                              <w:marLeft w:val="0"/>
                              <w:marRight w:val="0"/>
                              <w:marTop w:val="0"/>
                              <w:marBottom w:val="0"/>
                              <w:divBdr>
                                <w:top w:val="none" w:sz="0" w:space="0" w:color="auto"/>
                                <w:left w:val="none" w:sz="0" w:space="0" w:color="auto"/>
                                <w:bottom w:val="none" w:sz="0" w:space="0" w:color="auto"/>
                                <w:right w:val="none" w:sz="0" w:space="0" w:color="auto"/>
                              </w:divBdr>
                              <w:divsChild>
                                <w:div w:id="952638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63839535">
                  <w:marLeft w:val="0"/>
                  <w:marRight w:val="0"/>
                  <w:marTop w:val="0"/>
                  <w:marBottom w:val="0"/>
                  <w:divBdr>
                    <w:top w:val="none" w:sz="0" w:space="0" w:color="auto"/>
                    <w:left w:val="none" w:sz="0" w:space="0" w:color="auto"/>
                    <w:bottom w:val="none" w:sz="0" w:space="0" w:color="auto"/>
                    <w:right w:val="none" w:sz="0" w:space="0" w:color="auto"/>
                  </w:divBdr>
                  <w:divsChild>
                    <w:div w:id="19428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85763">
      <w:bodyDiv w:val="1"/>
      <w:marLeft w:val="0"/>
      <w:marRight w:val="0"/>
      <w:marTop w:val="0"/>
      <w:marBottom w:val="0"/>
      <w:divBdr>
        <w:top w:val="none" w:sz="0" w:space="0" w:color="auto"/>
        <w:left w:val="none" w:sz="0" w:space="0" w:color="auto"/>
        <w:bottom w:val="none" w:sz="0" w:space="0" w:color="auto"/>
        <w:right w:val="none" w:sz="0" w:space="0" w:color="auto"/>
      </w:divBdr>
    </w:div>
    <w:div w:id="535894701">
      <w:bodyDiv w:val="1"/>
      <w:marLeft w:val="0"/>
      <w:marRight w:val="0"/>
      <w:marTop w:val="0"/>
      <w:marBottom w:val="0"/>
      <w:divBdr>
        <w:top w:val="none" w:sz="0" w:space="0" w:color="auto"/>
        <w:left w:val="none" w:sz="0" w:space="0" w:color="auto"/>
        <w:bottom w:val="none" w:sz="0" w:space="0" w:color="auto"/>
        <w:right w:val="none" w:sz="0" w:space="0" w:color="auto"/>
      </w:divBdr>
    </w:div>
    <w:div w:id="564994208">
      <w:bodyDiv w:val="1"/>
      <w:marLeft w:val="0"/>
      <w:marRight w:val="0"/>
      <w:marTop w:val="0"/>
      <w:marBottom w:val="0"/>
      <w:divBdr>
        <w:top w:val="none" w:sz="0" w:space="0" w:color="auto"/>
        <w:left w:val="none" w:sz="0" w:space="0" w:color="auto"/>
        <w:bottom w:val="none" w:sz="0" w:space="0" w:color="auto"/>
        <w:right w:val="none" w:sz="0" w:space="0" w:color="auto"/>
      </w:divBdr>
    </w:div>
    <w:div w:id="580144835">
      <w:bodyDiv w:val="1"/>
      <w:marLeft w:val="0"/>
      <w:marRight w:val="0"/>
      <w:marTop w:val="0"/>
      <w:marBottom w:val="0"/>
      <w:divBdr>
        <w:top w:val="none" w:sz="0" w:space="0" w:color="auto"/>
        <w:left w:val="none" w:sz="0" w:space="0" w:color="auto"/>
        <w:bottom w:val="none" w:sz="0" w:space="0" w:color="auto"/>
        <w:right w:val="none" w:sz="0" w:space="0" w:color="auto"/>
      </w:divBdr>
    </w:div>
    <w:div w:id="592935287">
      <w:bodyDiv w:val="1"/>
      <w:marLeft w:val="0"/>
      <w:marRight w:val="0"/>
      <w:marTop w:val="0"/>
      <w:marBottom w:val="0"/>
      <w:divBdr>
        <w:top w:val="none" w:sz="0" w:space="0" w:color="auto"/>
        <w:left w:val="none" w:sz="0" w:space="0" w:color="auto"/>
        <w:bottom w:val="none" w:sz="0" w:space="0" w:color="auto"/>
        <w:right w:val="none" w:sz="0" w:space="0" w:color="auto"/>
      </w:divBdr>
    </w:div>
    <w:div w:id="599293631">
      <w:bodyDiv w:val="1"/>
      <w:marLeft w:val="0"/>
      <w:marRight w:val="0"/>
      <w:marTop w:val="0"/>
      <w:marBottom w:val="0"/>
      <w:divBdr>
        <w:top w:val="none" w:sz="0" w:space="0" w:color="auto"/>
        <w:left w:val="none" w:sz="0" w:space="0" w:color="auto"/>
        <w:bottom w:val="none" w:sz="0" w:space="0" w:color="auto"/>
        <w:right w:val="none" w:sz="0" w:space="0" w:color="auto"/>
      </w:divBdr>
    </w:div>
    <w:div w:id="650794310">
      <w:bodyDiv w:val="1"/>
      <w:marLeft w:val="0"/>
      <w:marRight w:val="0"/>
      <w:marTop w:val="0"/>
      <w:marBottom w:val="0"/>
      <w:divBdr>
        <w:top w:val="none" w:sz="0" w:space="0" w:color="auto"/>
        <w:left w:val="none" w:sz="0" w:space="0" w:color="auto"/>
        <w:bottom w:val="none" w:sz="0" w:space="0" w:color="auto"/>
        <w:right w:val="none" w:sz="0" w:space="0" w:color="auto"/>
      </w:divBdr>
    </w:div>
    <w:div w:id="752819951">
      <w:bodyDiv w:val="1"/>
      <w:marLeft w:val="0"/>
      <w:marRight w:val="0"/>
      <w:marTop w:val="0"/>
      <w:marBottom w:val="0"/>
      <w:divBdr>
        <w:top w:val="none" w:sz="0" w:space="0" w:color="auto"/>
        <w:left w:val="none" w:sz="0" w:space="0" w:color="auto"/>
        <w:bottom w:val="none" w:sz="0" w:space="0" w:color="auto"/>
        <w:right w:val="none" w:sz="0" w:space="0" w:color="auto"/>
      </w:divBdr>
    </w:div>
    <w:div w:id="834954772">
      <w:bodyDiv w:val="1"/>
      <w:marLeft w:val="0"/>
      <w:marRight w:val="0"/>
      <w:marTop w:val="0"/>
      <w:marBottom w:val="0"/>
      <w:divBdr>
        <w:top w:val="none" w:sz="0" w:space="0" w:color="auto"/>
        <w:left w:val="none" w:sz="0" w:space="0" w:color="auto"/>
        <w:bottom w:val="none" w:sz="0" w:space="0" w:color="auto"/>
        <w:right w:val="none" w:sz="0" w:space="0" w:color="auto"/>
      </w:divBdr>
    </w:div>
    <w:div w:id="839126415">
      <w:bodyDiv w:val="1"/>
      <w:marLeft w:val="0"/>
      <w:marRight w:val="0"/>
      <w:marTop w:val="0"/>
      <w:marBottom w:val="0"/>
      <w:divBdr>
        <w:top w:val="none" w:sz="0" w:space="0" w:color="auto"/>
        <w:left w:val="none" w:sz="0" w:space="0" w:color="auto"/>
        <w:bottom w:val="none" w:sz="0" w:space="0" w:color="auto"/>
        <w:right w:val="none" w:sz="0" w:space="0" w:color="auto"/>
      </w:divBdr>
    </w:div>
    <w:div w:id="879049026">
      <w:bodyDiv w:val="1"/>
      <w:marLeft w:val="0"/>
      <w:marRight w:val="0"/>
      <w:marTop w:val="0"/>
      <w:marBottom w:val="0"/>
      <w:divBdr>
        <w:top w:val="none" w:sz="0" w:space="0" w:color="auto"/>
        <w:left w:val="none" w:sz="0" w:space="0" w:color="auto"/>
        <w:bottom w:val="none" w:sz="0" w:space="0" w:color="auto"/>
        <w:right w:val="none" w:sz="0" w:space="0" w:color="auto"/>
      </w:divBdr>
      <w:divsChild>
        <w:div w:id="29965441">
          <w:marLeft w:val="0"/>
          <w:marRight w:val="0"/>
          <w:marTop w:val="0"/>
          <w:marBottom w:val="0"/>
          <w:divBdr>
            <w:top w:val="none" w:sz="0" w:space="0" w:color="auto"/>
            <w:left w:val="none" w:sz="0" w:space="0" w:color="auto"/>
            <w:bottom w:val="none" w:sz="0" w:space="0" w:color="auto"/>
            <w:right w:val="none" w:sz="0" w:space="0" w:color="auto"/>
          </w:divBdr>
          <w:divsChild>
            <w:div w:id="75370240">
              <w:marLeft w:val="0"/>
              <w:marRight w:val="0"/>
              <w:marTop w:val="0"/>
              <w:marBottom w:val="0"/>
              <w:divBdr>
                <w:top w:val="none" w:sz="0" w:space="0" w:color="auto"/>
                <w:left w:val="none" w:sz="0" w:space="0" w:color="auto"/>
                <w:bottom w:val="none" w:sz="0" w:space="0" w:color="auto"/>
                <w:right w:val="none" w:sz="0" w:space="0" w:color="auto"/>
              </w:divBdr>
              <w:divsChild>
                <w:div w:id="1066562745">
                  <w:marLeft w:val="0"/>
                  <w:marRight w:val="0"/>
                  <w:marTop w:val="0"/>
                  <w:marBottom w:val="0"/>
                  <w:divBdr>
                    <w:top w:val="none" w:sz="0" w:space="0" w:color="auto"/>
                    <w:left w:val="none" w:sz="0" w:space="0" w:color="auto"/>
                    <w:bottom w:val="none" w:sz="0" w:space="0" w:color="auto"/>
                    <w:right w:val="none" w:sz="0" w:space="0" w:color="auto"/>
                  </w:divBdr>
                  <w:divsChild>
                    <w:div w:id="288050146">
                      <w:marLeft w:val="0"/>
                      <w:marRight w:val="0"/>
                      <w:marTop w:val="0"/>
                      <w:marBottom w:val="0"/>
                      <w:divBdr>
                        <w:top w:val="none" w:sz="0" w:space="0" w:color="auto"/>
                        <w:left w:val="none" w:sz="0" w:space="0" w:color="auto"/>
                        <w:bottom w:val="none" w:sz="0" w:space="0" w:color="auto"/>
                        <w:right w:val="none" w:sz="0" w:space="0" w:color="auto"/>
                      </w:divBdr>
                      <w:divsChild>
                        <w:div w:id="2104690529">
                          <w:marLeft w:val="0"/>
                          <w:marRight w:val="0"/>
                          <w:marTop w:val="0"/>
                          <w:marBottom w:val="0"/>
                          <w:divBdr>
                            <w:top w:val="none" w:sz="0" w:space="0" w:color="auto"/>
                            <w:left w:val="none" w:sz="0" w:space="0" w:color="auto"/>
                            <w:bottom w:val="none" w:sz="0" w:space="0" w:color="auto"/>
                            <w:right w:val="none" w:sz="0" w:space="0" w:color="auto"/>
                          </w:divBdr>
                          <w:divsChild>
                            <w:div w:id="599529867">
                              <w:marLeft w:val="0"/>
                              <w:marRight w:val="0"/>
                              <w:marTop w:val="0"/>
                              <w:marBottom w:val="0"/>
                              <w:divBdr>
                                <w:top w:val="none" w:sz="0" w:space="0" w:color="auto"/>
                                <w:left w:val="none" w:sz="0" w:space="0" w:color="auto"/>
                                <w:bottom w:val="none" w:sz="0" w:space="0" w:color="auto"/>
                                <w:right w:val="none" w:sz="0" w:space="0" w:color="auto"/>
                              </w:divBdr>
                              <w:divsChild>
                                <w:div w:id="546382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72535682">
                  <w:marLeft w:val="0"/>
                  <w:marRight w:val="0"/>
                  <w:marTop w:val="0"/>
                  <w:marBottom w:val="0"/>
                  <w:divBdr>
                    <w:top w:val="none" w:sz="0" w:space="0" w:color="auto"/>
                    <w:left w:val="none" w:sz="0" w:space="0" w:color="auto"/>
                    <w:bottom w:val="none" w:sz="0" w:space="0" w:color="auto"/>
                    <w:right w:val="none" w:sz="0" w:space="0" w:color="auto"/>
                  </w:divBdr>
                  <w:divsChild>
                    <w:div w:id="20010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869353">
      <w:bodyDiv w:val="1"/>
      <w:marLeft w:val="0"/>
      <w:marRight w:val="0"/>
      <w:marTop w:val="0"/>
      <w:marBottom w:val="0"/>
      <w:divBdr>
        <w:top w:val="none" w:sz="0" w:space="0" w:color="auto"/>
        <w:left w:val="none" w:sz="0" w:space="0" w:color="auto"/>
        <w:bottom w:val="none" w:sz="0" w:space="0" w:color="auto"/>
        <w:right w:val="none" w:sz="0" w:space="0" w:color="auto"/>
      </w:divBdr>
    </w:div>
    <w:div w:id="899099907">
      <w:bodyDiv w:val="1"/>
      <w:marLeft w:val="0"/>
      <w:marRight w:val="0"/>
      <w:marTop w:val="0"/>
      <w:marBottom w:val="0"/>
      <w:divBdr>
        <w:top w:val="none" w:sz="0" w:space="0" w:color="auto"/>
        <w:left w:val="none" w:sz="0" w:space="0" w:color="auto"/>
        <w:bottom w:val="none" w:sz="0" w:space="0" w:color="auto"/>
        <w:right w:val="none" w:sz="0" w:space="0" w:color="auto"/>
      </w:divBdr>
    </w:div>
    <w:div w:id="906454892">
      <w:bodyDiv w:val="1"/>
      <w:marLeft w:val="0"/>
      <w:marRight w:val="0"/>
      <w:marTop w:val="0"/>
      <w:marBottom w:val="0"/>
      <w:divBdr>
        <w:top w:val="none" w:sz="0" w:space="0" w:color="auto"/>
        <w:left w:val="none" w:sz="0" w:space="0" w:color="auto"/>
        <w:bottom w:val="none" w:sz="0" w:space="0" w:color="auto"/>
        <w:right w:val="none" w:sz="0" w:space="0" w:color="auto"/>
      </w:divBdr>
    </w:div>
    <w:div w:id="919022058">
      <w:bodyDiv w:val="1"/>
      <w:marLeft w:val="0"/>
      <w:marRight w:val="0"/>
      <w:marTop w:val="0"/>
      <w:marBottom w:val="0"/>
      <w:divBdr>
        <w:top w:val="none" w:sz="0" w:space="0" w:color="auto"/>
        <w:left w:val="none" w:sz="0" w:space="0" w:color="auto"/>
        <w:bottom w:val="none" w:sz="0" w:space="0" w:color="auto"/>
        <w:right w:val="none" w:sz="0" w:space="0" w:color="auto"/>
      </w:divBdr>
    </w:div>
    <w:div w:id="941375674">
      <w:bodyDiv w:val="1"/>
      <w:marLeft w:val="0"/>
      <w:marRight w:val="0"/>
      <w:marTop w:val="0"/>
      <w:marBottom w:val="0"/>
      <w:divBdr>
        <w:top w:val="none" w:sz="0" w:space="0" w:color="auto"/>
        <w:left w:val="none" w:sz="0" w:space="0" w:color="auto"/>
        <w:bottom w:val="none" w:sz="0" w:space="0" w:color="auto"/>
        <w:right w:val="none" w:sz="0" w:space="0" w:color="auto"/>
      </w:divBdr>
    </w:div>
    <w:div w:id="942767309">
      <w:bodyDiv w:val="1"/>
      <w:marLeft w:val="0"/>
      <w:marRight w:val="0"/>
      <w:marTop w:val="0"/>
      <w:marBottom w:val="0"/>
      <w:divBdr>
        <w:top w:val="none" w:sz="0" w:space="0" w:color="auto"/>
        <w:left w:val="none" w:sz="0" w:space="0" w:color="auto"/>
        <w:bottom w:val="none" w:sz="0" w:space="0" w:color="auto"/>
        <w:right w:val="none" w:sz="0" w:space="0" w:color="auto"/>
      </w:divBdr>
    </w:div>
    <w:div w:id="983853017">
      <w:bodyDiv w:val="1"/>
      <w:marLeft w:val="0"/>
      <w:marRight w:val="0"/>
      <w:marTop w:val="0"/>
      <w:marBottom w:val="0"/>
      <w:divBdr>
        <w:top w:val="none" w:sz="0" w:space="0" w:color="auto"/>
        <w:left w:val="none" w:sz="0" w:space="0" w:color="auto"/>
        <w:bottom w:val="none" w:sz="0" w:space="0" w:color="auto"/>
        <w:right w:val="none" w:sz="0" w:space="0" w:color="auto"/>
      </w:divBdr>
    </w:div>
    <w:div w:id="989745841">
      <w:bodyDiv w:val="1"/>
      <w:marLeft w:val="0"/>
      <w:marRight w:val="0"/>
      <w:marTop w:val="0"/>
      <w:marBottom w:val="0"/>
      <w:divBdr>
        <w:top w:val="none" w:sz="0" w:space="0" w:color="auto"/>
        <w:left w:val="none" w:sz="0" w:space="0" w:color="auto"/>
        <w:bottom w:val="none" w:sz="0" w:space="0" w:color="auto"/>
        <w:right w:val="none" w:sz="0" w:space="0" w:color="auto"/>
      </w:divBdr>
    </w:div>
    <w:div w:id="1012604924">
      <w:bodyDiv w:val="1"/>
      <w:marLeft w:val="0"/>
      <w:marRight w:val="0"/>
      <w:marTop w:val="0"/>
      <w:marBottom w:val="0"/>
      <w:divBdr>
        <w:top w:val="none" w:sz="0" w:space="0" w:color="auto"/>
        <w:left w:val="none" w:sz="0" w:space="0" w:color="auto"/>
        <w:bottom w:val="none" w:sz="0" w:space="0" w:color="auto"/>
        <w:right w:val="none" w:sz="0" w:space="0" w:color="auto"/>
      </w:divBdr>
    </w:div>
    <w:div w:id="1031416902">
      <w:bodyDiv w:val="1"/>
      <w:marLeft w:val="0"/>
      <w:marRight w:val="0"/>
      <w:marTop w:val="0"/>
      <w:marBottom w:val="0"/>
      <w:divBdr>
        <w:top w:val="none" w:sz="0" w:space="0" w:color="auto"/>
        <w:left w:val="none" w:sz="0" w:space="0" w:color="auto"/>
        <w:bottom w:val="none" w:sz="0" w:space="0" w:color="auto"/>
        <w:right w:val="none" w:sz="0" w:space="0" w:color="auto"/>
      </w:divBdr>
    </w:div>
    <w:div w:id="1034500882">
      <w:bodyDiv w:val="1"/>
      <w:marLeft w:val="0"/>
      <w:marRight w:val="0"/>
      <w:marTop w:val="0"/>
      <w:marBottom w:val="0"/>
      <w:divBdr>
        <w:top w:val="none" w:sz="0" w:space="0" w:color="auto"/>
        <w:left w:val="none" w:sz="0" w:space="0" w:color="auto"/>
        <w:bottom w:val="none" w:sz="0" w:space="0" w:color="auto"/>
        <w:right w:val="none" w:sz="0" w:space="0" w:color="auto"/>
      </w:divBdr>
    </w:div>
    <w:div w:id="1049457073">
      <w:bodyDiv w:val="1"/>
      <w:marLeft w:val="0"/>
      <w:marRight w:val="0"/>
      <w:marTop w:val="0"/>
      <w:marBottom w:val="0"/>
      <w:divBdr>
        <w:top w:val="none" w:sz="0" w:space="0" w:color="auto"/>
        <w:left w:val="none" w:sz="0" w:space="0" w:color="auto"/>
        <w:bottom w:val="none" w:sz="0" w:space="0" w:color="auto"/>
        <w:right w:val="none" w:sz="0" w:space="0" w:color="auto"/>
      </w:divBdr>
    </w:div>
    <w:div w:id="1057629312">
      <w:bodyDiv w:val="1"/>
      <w:marLeft w:val="0"/>
      <w:marRight w:val="0"/>
      <w:marTop w:val="0"/>
      <w:marBottom w:val="0"/>
      <w:divBdr>
        <w:top w:val="none" w:sz="0" w:space="0" w:color="auto"/>
        <w:left w:val="none" w:sz="0" w:space="0" w:color="auto"/>
        <w:bottom w:val="none" w:sz="0" w:space="0" w:color="auto"/>
        <w:right w:val="none" w:sz="0" w:space="0" w:color="auto"/>
      </w:divBdr>
    </w:div>
    <w:div w:id="1076394417">
      <w:bodyDiv w:val="1"/>
      <w:marLeft w:val="0"/>
      <w:marRight w:val="0"/>
      <w:marTop w:val="0"/>
      <w:marBottom w:val="0"/>
      <w:divBdr>
        <w:top w:val="none" w:sz="0" w:space="0" w:color="auto"/>
        <w:left w:val="none" w:sz="0" w:space="0" w:color="auto"/>
        <w:bottom w:val="none" w:sz="0" w:space="0" w:color="auto"/>
        <w:right w:val="none" w:sz="0" w:space="0" w:color="auto"/>
      </w:divBdr>
    </w:div>
    <w:div w:id="1105928631">
      <w:bodyDiv w:val="1"/>
      <w:marLeft w:val="0"/>
      <w:marRight w:val="0"/>
      <w:marTop w:val="0"/>
      <w:marBottom w:val="0"/>
      <w:divBdr>
        <w:top w:val="none" w:sz="0" w:space="0" w:color="auto"/>
        <w:left w:val="none" w:sz="0" w:space="0" w:color="auto"/>
        <w:bottom w:val="none" w:sz="0" w:space="0" w:color="auto"/>
        <w:right w:val="none" w:sz="0" w:space="0" w:color="auto"/>
      </w:divBdr>
    </w:div>
    <w:div w:id="1152060757">
      <w:bodyDiv w:val="1"/>
      <w:marLeft w:val="0"/>
      <w:marRight w:val="0"/>
      <w:marTop w:val="0"/>
      <w:marBottom w:val="0"/>
      <w:divBdr>
        <w:top w:val="none" w:sz="0" w:space="0" w:color="auto"/>
        <w:left w:val="none" w:sz="0" w:space="0" w:color="auto"/>
        <w:bottom w:val="none" w:sz="0" w:space="0" w:color="auto"/>
        <w:right w:val="none" w:sz="0" w:space="0" w:color="auto"/>
      </w:divBdr>
    </w:div>
    <w:div w:id="1156804626">
      <w:bodyDiv w:val="1"/>
      <w:marLeft w:val="0"/>
      <w:marRight w:val="0"/>
      <w:marTop w:val="0"/>
      <w:marBottom w:val="0"/>
      <w:divBdr>
        <w:top w:val="none" w:sz="0" w:space="0" w:color="auto"/>
        <w:left w:val="none" w:sz="0" w:space="0" w:color="auto"/>
        <w:bottom w:val="none" w:sz="0" w:space="0" w:color="auto"/>
        <w:right w:val="none" w:sz="0" w:space="0" w:color="auto"/>
      </w:divBdr>
    </w:div>
    <w:div w:id="1168784976">
      <w:bodyDiv w:val="1"/>
      <w:marLeft w:val="0"/>
      <w:marRight w:val="0"/>
      <w:marTop w:val="0"/>
      <w:marBottom w:val="0"/>
      <w:divBdr>
        <w:top w:val="none" w:sz="0" w:space="0" w:color="auto"/>
        <w:left w:val="none" w:sz="0" w:space="0" w:color="auto"/>
        <w:bottom w:val="none" w:sz="0" w:space="0" w:color="auto"/>
        <w:right w:val="none" w:sz="0" w:space="0" w:color="auto"/>
      </w:divBdr>
    </w:div>
    <w:div w:id="1170177688">
      <w:bodyDiv w:val="1"/>
      <w:marLeft w:val="0"/>
      <w:marRight w:val="0"/>
      <w:marTop w:val="0"/>
      <w:marBottom w:val="0"/>
      <w:divBdr>
        <w:top w:val="none" w:sz="0" w:space="0" w:color="auto"/>
        <w:left w:val="none" w:sz="0" w:space="0" w:color="auto"/>
        <w:bottom w:val="none" w:sz="0" w:space="0" w:color="auto"/>
        <w:right w:val="none" w:sz="0" w:space="0" w:color="auto"/>
      </w:divBdr>
    </w:div>
    <w:div w:id="1304038630">
      <w:bodyDiv w:val="1"/>
      <w:marLeft w:val="0"/>
      <w:marRight w:val="0"/>
      <w:marTop w:val="0"/>
      <w:marBottom w:val="0"/>
      <w:divBdr>
        <w:top w:val="none" w:sz="0" w:space="0" w:color="auto"/>
        <w:left w:val="none" w:sz="0" w:space="0" w:color="auto"/>
        <w:bottom w:val="none" w:sz="0" w:space="0" w:color="auto"/>
        <w:right w:val="none" w:sz="0" w:space="0" w:color="auto"/>
      </w:divBdr>
    </w:div>
    <w:div w:id="1323777101">
      <w:bodyDiv w:val="1"/>
      <w:marLeft w:val="0"/>
      <w:marRight w:val="0"/>
      <w:marTop w:val="0"/>
      <w:marBottom w:val="0"/>
      <w:divBdr>
        <w:top w:val="none" w:sz="0" w:space="0" w:color="auto"/>
        <w:left w:val="none" w:sz="0" w:space="0" w:color="auto"/>
        <w:bottom w:val="none" w:sz="0" w:space="0" w:color="auto"/>
        <w:right w:val="none" w:sz="0" w:space="0" w:color="auto"/>
      </w:divBdr>
      <w:divsChild>
        <w:div w:id="63556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202967">
      <w:bodyDiv w:val="1"/>
      <w:marLeft w:val="0"/>
      <w:marRight w:val="0"/>
      <w:marTop w:val="0"/>
      <w:marBottom w:val="0"/>
      <w:divBdr>
        <w:top w:val="none" w:sz="0" w:space="0" w:color="auto"/>
        <w:left w:val="none" w:sz="0" w:space="0" w:color="auto"/>
        <w:bottom w:val="none" w:sz="0" w:space="0" w:color="auto"/>
        <w:right w:val="none" w:sz="0" w:space="0" w:color="auto"/>
      </w:divBdr>
    </w:div>
    <w:div w:id="1383022501">
      <w:bodyDiv w:val="1"/>
      <w:marLeft w:val="0"/>
      <w:marRight w:val="0"/>
      <w:marTop w:val="0"/>
      <w:marBottom w:val="0"/>
      <w:divBdr>
        <w:top w:val="none" w:sz="0" w:space="0" w:color="auto"/>
        <w:left w:val="none" w:sz="0" w:space="0" w:color="auto"/>
        <w:bottom w:val="none" w:sz="0" w:space="0" w:color="auto"/>
        <w:right w:val="none" w:sz="0" w:space="0" w:color="auto"/>
      </w:divBdr>
    </w:div>
    <w:div w:id="1385833011">
      <w:bodyDiv w:val="1"/>
      <w:marLeft w:val="0"/>
      <w:marRight w:val="0"/>
      <w:marTop w:val="0"/>
      <w:marBottom w:val="0"/>
      <w:divBdr>
        <w:top w:val="none" w:sz="0" w:space="0" w:color="auto"/>
        <w:left w:val="none" w:sz="0" w:space="0" w:color="auto"/>
        <w:bottom w:val="none" w:sz="0" w:space="0" w:color="auto"/>
        <w:right w:val="none" w:sz="0" w:space="0" w:color="auto"/>
      </w:divBdr>
    </w:div>
    <w:div w:id="1403675297">
      <w:bodyDiv w:val="1"/>
      <w:marLeft w:val="0"/>
      <w:marRight w:val="0"/>
      <w:marTop w:val="0"/>
      <w:marBottom w:val="0"/>
      <w:divBdr>
        <w:top w:val="none" w:sz="0" w:space="0" w:color="auto"/>
        <w:left w:val="none" w:sz="0" w:space="0" w:color="auto"/>
        <w:bottom w:val="none" w:sz="0" w:space="0" w:color="auto"/>
        <w:right w:val="none" w:sz="0" w:space="0" w:color="auto"/>
      </w:divBdr>
    </w:div>
    <w:div w:id="1431856932">
      <w:bodyDiv w:val="1"/>
      <w:marLeft w:val="0"/>
      <w:marRight w:val="0"/>
      <w:marTop w:val="0"/>
      <w:marBottom w:val="0"/>
      <w:divBdr>
        <w:top w:val="none" w:sz="0" w:space="0" w:color="auto"/>
        <w:left w:val="none" w:sz="0" w:space="0" w:color="auto"/>
        <w:bottom w:val="none" w:sz="0" w:space="0" w:color="auto"/>
        <w:right w:val="none" w:sz="0" w:space="0" w:color="auto"/>
      </w:divBdr>
    </w:div>
    <w:div w:id="1533954064">
      <w:bodyDiv w:val="1"/>
      <w:marLeft w:val="0"/>
      <w:marRight w:val="0"/>
      <w:marTop w:val="0"/>
      <w:marBottom w:val="0"/>
      <w:divBdr>
        <w:top w:val="none" w:sz="0" w:space="0" w:color="auto"/>
        <w:left w:val="none" w:sz="0" w:space="0" w:color="auto"/>
        <w:bottom w:val="none" w:sz="0" w:space="0" w:color="auto"/>
        <w:right w:val="none" w:sz="0" w:space="0" w:color="auto"/>
      </w:divBdr>
    </w:div>
    <w:div w:id="1536234176">
      <w:bodyDiv w:val="1"/>
      <w:marLeft w:val="0"/>
      <w:marRight w:val="0"/>
      <w:marTop w:val="0"/>
      <w:marBottom w:val="0"/>
      <w:divBdr>
        <w:top w:val="none" w:sz="0" w:space="0" w:color="auto"/>
        <w:left w:val="none" w:sz="0" w:space="0" w:color="auto"/>
        <w:bottom w:val="none" w:sz="0" w:space="0" w:color="auto"/>
        <w:right w:val="none" w:sz="0" w:space="0" w:color="auto"/>
      </w:divBdr>
    </w:div>
    <w:div w:id="1617520478">
      <w:bodyDiv w:val="1"/>
      <w:marLeft w:val="0"/>
      <w:marRight w:val="0"/>
      <w:marTop w:val="0"/>
      <w:marBottom w:val="0"/>
      <w:divBdr>
        <w:top w:val="none" w:sz="0" w:space="0" w:color="auto"/>
        <w:left w:val="none" w:sz="0" w:space="0" w:color="auto"/>
        <w:bottom w:val="none" w:sz="0" w:space="0" w:color="auto"/>
        <w:right w:val="none" w:sz="0" w:space="0" w:color="auto"/>
      </w:divBdr>
    </w:div>
    <w:div w:id="1650206954">
      <w:bodyDiv w:val="1"/>
      <w:marLeft w:val="0"/>
      <w:marRight w:val="0"/>
      <w:marTop w:val="0"/>
      <w:marBottom w:val="0"/>
      <w:divBdr>
        <w:top w:val="none" w:sz="0" w:space="0" w:color="auto"/>
        <w:left w:val="none" w:sz="0" w:space="0" w:color="auto"/>
        <w:bottom w:val="none" w:sz="0" w:space="0" w:color="auto"/>
        <w:right w:val="none" w:sz="0" w:space="0" w:color="auto"/>
      </w:divBdr>
    </w:div>
    <w:div w:id="1653026411">
      <w:bodyDiv w:val="1"/>
      <w:marLeft w:val="0"/>
      <w:marRight w:val="0"/>
      <w:marTop w:val="0"/>
      <w:marBottom w:val="0"/>
      <w:divBdr>
        <w:top w:val="none" w:sz="0" w:space="0" w:color="auto"/>
        <w:left w:val="none" w:sz="0" w:space="0" w:color="auto"/>
        <w:bottom w:val="none" w:sz="0" w:space="0" w:color="auto"/>
        <w:right w:val="none" w:sz="0" w:space="0" w:color="auto"/>
      </w:divBdr>
    </w:div>
    <w:div w:id="1663384737">
      <w:bodyDiv w:val="1"/>
      <w:marLeft w:val="0"/>
      <w:marRight w:val="0"/>
      <w:marTop w:val="0"/>
      <w:marBottom w:val="0"/>
      <w:divBdr>
        <w:top w:val="none" w:sz="0" w:space="0" w:color="auto"/>
        <w:left w:val="none" w:sz="0" w:space="0" w:color="auto"/>
        <w:bottom w:val="none" w:sz="0" w:space="0" w:color="auto"/>
        <w:right w:val="none" w:sz="0" w:space="0" w:color="auto"/>
      </w:divBdr>
    </w:div>
    <w:div w:id="1665353797">
      <w:bodyDiv w:val="1"/>
      <w:marLeft w:val="0"/>
      <w:marRight w:val="0"/>
      <w:marTop w:val="0"/>
      <w:marBottom w:val="0"/>
      <w:divBdr>
        <w:top w:val="none" w:sz="0" w:space="0" w:color="auto"/>
        <w:left w:val="none" w:sz="0" w:space="0" w:color="auto"/>
        <w:bottom w:val="none" w:sz="0" w:space="0" w:color="auto"/>
        <w:right w:val="none" w:sz="0" w:space="0" w:color="auto"/>
      </w:divBdr>
    </w:div>
    <w:div w:id="1666546735">
      <w:bodyDiv w:val="1"/>
      <w:marLeft w:val="0"/>
      <w:marRight w:val="0"/>
      <w:marTop w:val="0"/>
      <w:marBottom w:val="0"/>
      <w:divBdr>
        <w:top w:val="none" w:sz="0" w:space="0" w:color="auto"/>
        <w:left w:val="none" w:sz="0" w:space="0" w:color="auto"/>
        <w:bottom w:val="none" w:sz="0" w:space="0" w:color="auto"/>
        <w:right w:val="none" w:sz="0" w:space="0" w:color="auto"/>
      </w:divBdr>
    </w:div>
    <w:div w:id="1738357885">
      <w:bodyDiv w:val="1"/>
      <w:marLeft w:val="0"/>
      <w:marRight w:val="0"/>
      <w:marTop w:val="0"/>
      <w:marBottom w:val="0"/>
      <w:divBdr>
        <w:top w:val="none" w:sz="0" w:space="0" w:color="auto"/>
        <w:left w:val="none" w:sz="0" w:space="0" w:color="auto"/>
        <w:bottom w:val="none" w:sz="0" w:space="0" w:color="auto"/>
        <w:right w:val="none" w:sz="0" w:space="0" w:color="auto"/>
      </w:divBdr>
    </w:div>
    <w:div w:id="1750469066">
      <w:bodyDiv w:val="1"/>
      <w:marLeft w:val="0"/>
      <w:marRight w:val="0"/>
      <w:marTop w:val="0"/>
      <w:marBottom w:val="0"/>
      <w:divBdr>
        <w:top w:val="none" w:sz="0" w:space="0" w:color="auto"/>
        <w:left w:val="none" w:sz="0" w:space="0" w:color="auto"/>
        <w:bottom w:val="none" w:sz="0" w:space="0" w:color="auto"/>
        <w:right w:val="none" w:sz="0" w:space="0" w:color="auto"/>
      </w:divBdr>
    </w:div>
    <w:div w:id="1755518366">
      <w:bodyDiv w:val="1"/>
      <w:marLeft w:val="0"/>
      <w:marRight w:val="0"/>
      <w:marTop w:val="0"/>
      <w:marBottom w:val="0"/>
      <w:divBdr>
        <w:top w:val="none" w:sz="0" w:space="0" w:color="auto"/>
        <w:left w:val="none" w:sz="0" w:space="0" w:color="auto"/>
        <w:bottom w:val="none" w:sz="0" w:space="0" w:color="auto"/>
        <w:right w:val="none" w:sz="0" w:space="0" w:color="auto"/>
      </w:divBdr>
    </w:div>
    <w:div w:id="1764033454">
      <w:bodyDiv w:val="1"/>
      <w:marLeft w:val="0"/>
      <w:marRight w:val="0"/>
      <w:marTop w:val="0"/>
      <w:marBottom w:val="0"/>
      <w:divBdr>
        <w:top w:val="none" w:sz="0" w:space="0" w:color="auto"/>
        <w:left w:val="none" w:sz="0" w:space="0" w:color="auto"/>
        <w:bottom w:val="none" w:sz="0" w:space="0" w:color="auto"/>
        <w:right w:val="none" w:sz="0" w:space="0" w:color="auto"/>
      </w:divBdr>
    </w:div>
    <w:div w:id="1770664784">
      <w:bodyDiv w:val="1"/>
      <w:marLeft w:val="0"/>
      <w:marRight w:val="0"/>
      <w:marTop w:val="0"/>
      <w:marBottom w:val="0"/>
      <w:divBdr>
        <w:top w:val="none" w:sz="0" w:space="0" w:color="auto"/>
        <w:left w:val="none" w:sz="0" w:space="0" w:color="auto"/>
        <w:bottom w:val="none" w:sz="0" w:space="0" w:color="auto"/>
        <w:right w:val="none" w:sz="0" w:space="0" w:color="auto"/>
      </w:divBdr>
    </w:div>
    <w:div w:id="1787039710">
      <w:bodyDiv w:val="1"/>
      <w:marLeft w:val="0"/>
      <w:marRight w:val="0"/>
      <w:marTop w:val="0"/>
      <w:marBottom w:val="0"/>
      <w:divBdr>
        <w:top w:val="none" w:sz="0" w:space="0" w:color="auto"/>
        <w:left w:val="none" w:sz="0" w:space="0" w:color="auto"/>
        <w:bottom w:val="none" w:sz="0" w:space="0" w:color="auto"/>
        <w:right w:val="none" w:sz="0" w:space="0" w:color="auto"/>
      </w:divBdr>
    </w:div>
    <w:div w:id="1811315024">
      <w:bodyDiv w:val="1"/>
      <w:marLeft w:val="0"/>
      <w:marRight w:val="0"/>
      <w:marTop w:val="0"/>
      <w:marBottom w:val="0"/>
      <w:divBdr>
        <w:top w:val="none" w:sz="0" w:space="0" w:color="auto"/>
        <w:left w:val="none" w:sz="0" w:space="0" w:color="auto"/>
        <w:bottom w:val="none" w:sz="0" w:space="0" w:color="auto"/>
        <w:right w:val="none" w:sz="0" w:space="0" w:color="auto"/>
      </w:divBdr>
    </w:div>
    <w:div w:id="1817063683">
      <w:bodyDiv w:val="1"/>
      <w:marLeft w:val="0"/>
      <w:marRight w:val="0"/>
      <w:marTop w:val="0"/>
      <w:marBottom w:val="0"/>
      <w:divBdr>
        <w:top w:val="none" w:sz="0" w:space="0" w:color="auto"/>
        <w:left w:val="none" w:sz="0" w:space="0" w:color="auto"/>
        <w:bottom w:val="none" w:sz="0" w:space="0" w:color="auto"/>
        <w:right w:val="none" w:sz="0" w:space="0" w:color="auto"/>
      </w:divBdr>
    </w:div>
    <w:div w:id="1876231080">
      <w:bodyDiv w:val="1"/>
      <w:marLeft w:val="0"/>
      <w:marRight w:val="0"/>
      <w:marTop w:val="0"/>
      <w:marBottom w:val="0"/>
      <w:divBdr>
        <w:top w:val="none" w:sz="0" w:space="0" w:color="auto"/>
        <w:left w:val="none" w:sz="0" w:space="0" w:color="auto"/>
        <w:bottom w:val="none" w:sz="0" w:space="0" w:color="auto"/>
        <w:right w:val="none" w:sz="0" w:space="0" w:color="auto"/>
      </w:divBdr>
    </w:div>
    <w:div w:id="1894151998">
      <w:bodyDiv w:val="1"/>
      <w:marLeft w:val="0"/>
      <w:marRight w:val="0"/>
      <w:marTop w:val="0"/>
      <w:marBottom w:val="0"/>
      <w:divBdr>
        <w:top w:val="none" w:sz="0" w:space="0" w:color="auto"/>
        <w:left w:val="none" w:sz="0" w:space="0" w:color="auto"/>
        <w:bottom w:val="none" w:sz="0" w:space="0" w:color="auto"/>
        <w:right w:val="none" w:sz="0" w:space="0" w:color="auto"/>
      </w:divBdr>
    </w:div>
    <w:div w:id="1911033922">
      <w:bodyDiv w:val="1"/>
      <w:marLeft w:val="0"/>
      <w:marRight w:val="0"/>
      <w:marTop w:val="0"/>
      <w:marBottom w:val="0"/>
      <w:divBdr>
        <w:top w:val="none" w:sz="0" w:space="0" w:color="auto"/>
        <w:left w:val="none" w:sz="0" w:space="0" w:color="auto"/>
        <w:bottom w:val="none" w:sz="0" w:space="0" w:color="auto"/>
        <w:right w:val="none" w:sz="0" w:space="0" w:color="auto"/>
      </w:divBdr>
    </w:div>
    <w:div w:id="1912500494">
      <w:bodyDiv w:val="1"/>
      <w:marLeft w:val="0"/>
      <w:marRight w:val="0"/>
      <w:marTop w:val="0"/>
      <w:marBottom w:val="0"/>
      <w:divBdr>
        <w:top w:val="none" w:sz="0" w:space="0" w:color="auto"/>
        <w:left w:val="none" w:sz="0" w:space="0" w:color="auto"/>
        <w:bottom w:val="none" w:sz="0" w:space="0" w:color="auto"/>
        <w:right w:val="none" w:sz="0" w:space="0" w:color="auto"/>
      </w:divBdr>
    </w:div>
    <w:div w:id="1914461829">
      <w:bodyDiv w:val="1"/>
      <w:marLeft w:val="0"/>
      <w:marRight w:val="0"/>
      <w:marTop w:val="0"/>
      <w:marBottom w:val="0"/>
      <w:divBdr>
        <w:top w:val="none" w:sz="0" w:space="0" w:color="auto"/>
        <w:left w:val="none" w:sz="0" w:space="0" w:color="auto"/>
        <w:bottom w:val="none" w:sz="0" w:space="0" w:color="auto"/>
        <w:right w:val="none" w:sz="0" w:space="0" w:color="auto"/>
      </w:divBdr>
    </w:div>
    <w:div w:id="1943105380">
      <w:bodyDiv w:val="1"/>
      <w:marLeft w:val="0"/>
      <w:marRight w:val="0"/>
      <w:marTop w:val="0"/>
      <w:marBottom w:val="0"/>
      <w:divBdr>
        <w:top w:val="none" w:sz="0" w:space="0" w:color="auto"/>
        <w:left w:val="none" w:sz="0" w:space="0" w:color="auto"/>
        <w:bottom w:val="none" w:sz="0" w:space="0" w:color="auto"/>
        <w:right w:val="none" w:sz="0" w:space="0" w:color="auto"/>
      </w:divBdr>
    </w:div>
    <w:div w:id="1950969063">
      <w:bodyDiv w:val="1"/>
      <w:marLeft w:val="0"/>
      <w:marRight w:val="0"/>
      <w:marTop w:val="0"/>
      <w:marBottom w:val="0"/>
      <w:divBdr>
        <w:top w:val="none" w:sz="0" w:space="0" w:color="auto"/>
        <w:left w:val="none" w:sz="0" w:space="0" w:color="auto"/>
        <w:bottom w:val="none" w:sz="0" w:space="0" w:color="auto"/>
        <w:right w:val="none" w:sz="0" w:space="0" w:color="auto"/>
      </w:divBdr>
    </w:div>
    <w:div w:id="2000688325">
      <w:bodyDiv w:val="1"/>
      <w:marLeft w:val="0"/>
      <w:marRight w:val="0"/>
      <w:marTop w:val="0"/>
      <w:marBottom w:val="0"/>
      <w:divBdr>
        <w:top w:val="none" w:sz="0" w:space="0" w:color="auto"/>
        <w:left w:val="none" w:sz="0" w:space="0" w:color="auto"/>
        <w:bottom w:val="none" w:sz="0" w:space="0" w:color="auto"/>
        <w:right w:val="none" w:sz="0" w:space="0" w:color="auto"/>
      </w:divBdr>
    </w:div>
    <w:div w:id="2012220871">
      <w:bodyDiv w:val="1"/>
      <w:marLeft w:val="0"/>
      <w:marRight w:val="0"/>
      <w:marTop w:val="0"/>
      <w:marBottom w:val="0"/>
      <w:divBdr>
        <w:top w:val="none" w:sz="0" w:space="0" w:color="auto"/>
        <w:left w:val="none" w:sz="0" w:space="0" w:color="auto"/>
        <w:bottom w:val="none" w:sz="0" w:space="0" w:color="auto"/>
        <w:right w:val="none" w:sz="0" w:space="0" w:color="auto"/>
      </w:divBdr>
    </w:div>
    <w:div w:id="2048941630">
      <w:bodyDiv w:val="1"/>
      <w:marLeft w:val="0"/>
      <w:marRight w:val="0"/>
      <w:marTop w:val="0"/>
      <w:marBottom w:val="0"/>
      <w:divBdr>
        <w:top w:val="none" w:sz="0" w:space="0" w:color="auto"/>
        <w:left w:val="none" w:sz="0" w:space="0" w:color="auto"/>
        <w:bottom w:val="none" w:sz="0" w:space="0" w:color="auto"/>
        <w:right w:val="none" w:sz="0" w:space="0" w:color="auto"/>
      </w:divBdr>
    </w:div>
    <w:div w:id="2060275847">
      <w:bodyDiv w:val="1"/>
      <w:marLeft w:val="0"/>
      <w:marRight w:val="0"/>
      <w:marTop w:val="0"/>
      <w:marBottom w:val="0"/>
      <w:divBdr>
        <w:top w:val="none" w:sz="0" w:space="0" w:color="auto"/>
        <w:left w:val="none" w:sz="0" w:space="0" w:color="auto"/>
        <w:bottom w:val="none" w:sz="0" w:space="0" w:color="auto"/>
        <w:right w:val="none" w:sz="0" w:space="0" w:color="auto"/>
      </w:divBdr>
    </w:div>
    <w:div w:id="209219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twitter.com/ZwiazekLeasing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zwiazek-polskiego-leasingu-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easing.org.p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A267-4224-4FA0-A5D4-CCF93599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Pages>
  <Words>1371</Words>
  <Characters>8231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Urszula.Pietraszek</dc:creator>
  <cp:keywords/>
  <dc:description/>
  <cp:lastModifiedBy>Katarzyna Ostrowska</cp:lastModifiedBy>
  <cp:revision>174</cp:revision>
  <cp:lastPrinted>2026-10-22T13:40:00Z</cp:lastPrinted>
  <dcterms:created xsi:type="dcterms:W3CDTF">2026-07-21T14:24:00Z</dcterms:created>
  <dcterms:modified xsi:type="dcterms:W3CDTF">2026-10-28T18:56:00Z</dcterms:modified>
</cp:coreProperties>
</file>